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- 17., w tym:
a) laboratorium- 15 godz.;
b) konsultacje - 2 godz.;
Praca własna studenta  – 15 godzin, w tym:
a)	 15 godz. – bieżące przygotowywanie się studenta do ćwiczeń laboratoryjnych, studia literaturowe,
3) RAZEM – 32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– liczba godzin kontaktowych - 17., w tym:
a) laboratorium- 15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	15 godz. – przygotowywanie się do ćwiczeń laboratoryjnych
2)	15 godz. - laboratorium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części osiowosymetrycznych (wałek, tarcza).
2. Modelowanie korpusu.
3. Modelowanie zespołów.  Analiza zespołu, znajdowanie kolizji. 
4. Tworzenie i symulacja mechanizmów.
5.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podlegają zadania wykonywane przez studenta. Wszystkie oceny muszą być pozytywne. Ocena za laboratorium jest średnią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KMChtr_W05, 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InzA_W03, 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1150-MT000-ISP-0121_U01: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1150-MT000-ISP-0121_U02: </w:t>
      </w:r>
    </w:p>
    <w:p>
      <w:pPr/>
      <w:r>
        <w:rPr/>
        <w:t xml:space="preserve">Posiada umiejętność utworzenia dokumentacji rysunkowej dla modelu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1150-MT000-ISP-0121_U03: </w:t>
      </w:r>
    </w:p>
    <w:p>
      <w:pPr/>
      <w:r>
        <w:rPr/>
        <w:t xml:space="preserve">Potrafi zbudować parametryczny model geometryczny 3D 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2025-12-25T06:13:44+01:00</dcterms:created>
  <dcterms:modified xsi:type="dcterms:W3CDTF">2025-12-25T06:13:44+01:00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