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matematycznego opisu i teoretycznego wyjaśnienia.</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Wykład - egzamin pisemny (dodatkowo ustny w przypadku konieczności ustalenia ostatecznej oceny) 
Ćwiczenia audytoryjne - zaliczenie na podstawie dwóch pisemnych kolokwiów (2x18 pkt.) oraz kartkówek i prac domowych (w sumie 4 pkt.).
Ćwiczenia laboratoryjne - zaliczenie na ocenę pozytywną 8 ćwiczeń laboratoryjnych (ocena z przygotowania i ocena z opracowania wyników – sprawozdania). 
Na ocenę końcową z fizyki składają się: ocena z egzaminu (waga 60%), ocena z ćwiczeń audytoryjnych (waga 20%) i ocena z laboratorium (waga20%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obliczać prędkość fazową fal sprężystych w ośrodku, określać zmianę częstotliwości fali akustycznej w zjawisku Dopplera. Umie wykorzystać zasadę Fermata do wyjaśnienia załamania światła na granicy dwóch ośrodków optycznych. Umie rozwiązywać zadania dotyczące zjawisk interferencji i dyfrakcji światła lub promieni X (prawo Braggów).</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U2: </w:t>
      </w:r>
    </w:p>
    <w:p>
      <w:pPr/>
      <w:r>
        <w:rPr/>
        <w:t xml:space="preserve">Potrafi wykorzystać transformację Lorentza do obliczeń  zjawisk relatywistycznych (skrócenia długości, wydłużenia czasu, dodawania prędkości). Potrafi uzasadnić defekt masy jąder atomowych relatywistycznym związkiem masy i energii wiązania jąder atomowych.   </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ustawicznego kształcenia się, poszukiwania informacji naukowych z fizyki i innych nauk ścisłych w źródłach internetowych. Rozumie potrzebę ciągłego podnoszenia swoich kwalifikacji zawodowych.</w:t>
      </w:r>
    </w:p>
    <w:p>
      <w:pPr>
        <w:spacing w:before="60"/>
      </w:pPr>
      <w:r>
        <w:rPr/>
        <w:t xml:space="preserve">Weryfikacja: </w:t>
      </w:r>
    </w:p>
    <w:p>
      <w:pPr>
        <w:spacing w:before="20" w:after="190"/>
      </w:pPr>
      <w:r>
        <w:rPr/>
        <w:t xml:space="preserve">egzamin, 2 kolokwia, prace domowe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2026-10-02T02:40:58+02:00</dcterms:created>
  <dcterms:modified xsi:type="dcterms:W3CDTF">2026-10-02T02:40:58+02:00</dcterms:modified>
</cp:coreProperties>
</file>

<file path=docProps/custom.xml><?xml version="1.0" encoding="utf-8"?>
<Properties xmlns="http://schemas.openxmlformats.org/officeDocument/2006/custom-properties" xmlns:vt="http://schemas.openxmlformats.org/officeDocument/2006/docPropsVTypes"/>
</file>