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31 godzin, w tym:
a) obecność na wykładach - 8 godzin 
b) obecność na ćwiczeniach - 16 godzin
c) udział w konsultacjach - 5 godzin
d) udział w egzaminie - 2 godziny
2. Praca własna studenta – 44 godziny, w tym: 
a) przygotowanie do zajęć ćwiczeniowych - 16 godzin
b) dokończenie projektów - 10 godzin
c) przygotowanie do egzaminu - 18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31, w tym:
a) obecność na wykładach - 8 godzin 
b) obecność na ćwiczeniach - 16 godzin
c) udział w konsultacjach - 5 godzin
d) udział w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- 52 godziny, w tym:
a) obecność na ćwiczeniach - 16 godzin
b) przygotowanie do zajęć ćwiczeniowych - 16 godzin
c) dokończenie projektów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 na poziomie dokumentów Unii Europejskiej, krajowym, regionalnym i lokalnym oraz umiejętności stosowania analizy SWOT i opracowywania wybranych elementów strategii rozwoju lokalnego. Orientacja w zakresie podstawowych instrumentów rozwoju lokalnego (typologia, cele i zasady funkcjonowania, dostępność).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strategiczne.
2. Uwarunkowania rozwoju lokalnego.
3. Kompetencje samorządu w kształtowaniu strategii rozwoju; powiązania z sektorowymi i regionalnymi programami rozwoju.
4. Etapy konstruowania strategii - diagnoza stanu, ocena zasobów, cele strategiczne, programy i środki realizacji celów strategicznych. 
5. Metody opracowywania strategii rozwoju gminy.
6. Ewaluacja i modyfikacja strategii.
7. Lokalne instrumenty wspierania rozwoju gospodarczego.
ĆWICZENIA PROJEKTOWE:
1. Dokumenty strategiczne ponadlokalne i ich znaczenie dla rozwoju gmin – dyskusja i opinia na temat przykładowego dokumentu.
2. Analiza strategiczna SWOT – opracowanie dla wybranych gmin.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Ocenę końcową z  ćwiczeń projektowych ustala się licząc średnią arytmetyczną z wykonanych ćwiczeń projektowych.
Warunkiem zaliczenia wykładu jest uzyskanie pozytywnej oceny z egzaminu pisemnego.
Ocenę łączną z przedmiotu ustala się licząc średnią arytmetyczną z egzaminu (waga 50%) i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Ewa, 2008, Strategie rozwoju regionów i miast. Metodologia i wskazówki praktyczne, Minigo, Warszawa.
2. Krajowa Polityka Miejska (2015, strona www MIiR).
3. Krajowa Strategia Rozwoju Regionalnego 2010-2020: Regiony, Miasta, Obszary wiejskie (strona www MIiR).
4. Kłosowski W., Warda J., 2001, Wyspy szans. Jak budować strategie rozwoju lokalnego? W&amp;K.
5. Sztando A., 2010, Wzorzec procedury budowy strategii rozwoju jednostki samorządu lokalnego, w: Rozwój lokalny i regionalny. Znaczenie wsparcia udzielanego przez jednostki samorządu terytorialnego, Zeszyty Naukowe Nr 31/2010 Wyższej Szkoły Bankowej, Poznań.
6. Jewtuchowicz A., Rzeńca A. (red.), 2009, Współczesne wyzwania miast i regionów, Wydawnictwo Uniwersytetu Łódzkiego, Łódź.
7. Strony internetowe gmin, UE, ministerstw, organizacji samorządu terytorialnego.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GP.NIK508_W1: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GP.NIK508_W2: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T1A_W03, T1A_W04, T1A_W03, T1A_W04, S1A_W06, T1A_W03, T1A_W08,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GP.NIK508_W3: </w:t>
      </w:r>
    </w:p>
    <w:p>
      <w:pPr/>
      <w:r>
        <w:rPr/>
        <w:t xml:space="preserve">ma wiedzę na temat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GP.NIK508_U1: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GP.NIK508_U2: </w:t>
      </w:r>
    </w:p>
    <w:p>
      <w:pPr/>
      <w:r>
        <w:rPr/>
        <w:t xml:space="preserve">potrafi korzystać z różnych źródeł informacji dla analizy uwarunkwań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P1A_U07, S1A_U03</w:t>
      </w:r>
    </w:p>
    <w:p>
      <w:pPr>
        <w:keepNext w:val="1"/>
        <w:spacing w:after="10"/>
      </w:pPr>
      <w:r>
        <w:rPr>
          <w:b/>
          <w:bCs/>
        </w:rPr>
        <w:t xml:space="preserve">Efekt GP.NIK508_U3: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GP.NIK508_K1: </w:t>
      </w:r>
    </w:p>
    <w:p>
      <w:pPr/>
      <w:r>
        <w:rPr/>
        <w:t xml:space="preserve">potrafi ocenić efekty realizacji strategii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GP.NIK508_K2: </w:t>
      </w:r>
    </w:p>
    <w:p>
      <w:pPr/>
      <w:r>
        <w:rPr/>
        <w:t xml:space="preserve">rozumie potrzebę systematycznej analizy polityki rozwoju regionalnego, opinii, raportów, Koncepcji Przestrzennego Zagospodarowania Kraju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2026-04-10T15:23:10+02:00</dcterms:created>
  <dcterms:modified xsi:type="dcterms:W3CDTF">2026-04-10T15:23:10+02:00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