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- 15 godzin, w tym:
a) studia literaturowe i analiza przykładów opracowań - 10 godzin
b) przygotowanie do sprawdzianu zaliczeniowego - 5 godzin.
RAZEM: 31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punkta ECTS - liczba godzin kontaktowych - 16 godzin, w tym:
a) uczestnictwo w wykładach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GK.NMS450_U2: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GK.NMS450_K1: </w:t>
      </w:r>
    </w:p>
    <w:p>
      <w:pPr/>
      <w:r>
        <w:rPr/>
        <w:t xml:space="preserve">ma świadomość odpowiedzialności za publikowane dane przestrzenne i opisowe, ich jakość i ograniczenia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2026-10-01T22:53:29+02:00</dcterms:created>
  <dcterms:modified xsi:type="dcterms:W3CDTF">2026-10-01T22:53:29+02:00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