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w SIP</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GK.SMS295</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 tym:
a) uczestnictwo w ćwiczeniach - 1x15 godzin = 15 godzin,
b) udział w konsultacjach  - 3 godziny.
2) Praca własna studenta - 12 godzin, w tym:
a) przygotowanie do zajęć - 6 godzin,
c) sporządzenie raportów/projektów zaliczających poszczególne moduły ćwiczeń - 6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- 18 godzin, w tym:
a) uczestnictwo w ćwiczeniach - 1x15 godzin = 15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- 27 godzin, w tym:
a) uczestnictwo w ćwiczeniach - 1x15 godzin = 15 godzin,
b) przygotowanie do zajęć - 6 godzin,
c) sporządzenie raportów/projektów zaliczających poszczególne moduły ćwiczeń - 6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nabycie umiejętności rozszerzania funkcjonalności oprogramowania SIP z zastosowaniem wybranego języka programowania. </w:t>
      </w:r>
    </w:p>
    <w:p>
      <w:pPr>
        <w:keepNext w:val="1"/>
        <w:spacing w:after="10"/>
      </w:pPr>
      <w:r>
        <w:rPr>
          <w:b/>
          <w:bCs/>
        </w:rPr>
        <w:t xml:space="preserve">Treści kształcenia: </w:t>
      </w:r>
    </w:p>
    <w:p>
      <w:pPr>
        <w:spacing w:before="20" w:after="190"/>
      </w:pPr>
      <w:r>
        <w:rPr/>
        <w:t xml:space="preserve">Zapoznanie z językiem programowania Python:  Przetwarzanie plików tekstowych. Obliczanie wartości atrybutów za pomocą skryptów w narzędziach ArcGIS: CalculateField i Calculate Value. Wykorzystanie modułu Arcpy. Tworzenie narzędzi ArcGIS w Pythonie. Obliczanie wartości atrybutów za pomocą skryptów w QGIS;  Wtyczka ScriptRunner. Tworzenie narzędzi QGIS w Pythonie. Przetwarzanie rastrów w QGIS.
</w:t>
      </w:r>
    </w:p>
    <w:p>
      <w:pPr>
        <w:keepNext w:val="1"/>
        <w:spacing w:after="10"/>
      </w:pPr>
      <w:r>
        <w:rPr>
          <w:b/>
          <w:bCs/>
        </w:rPr>
        <w:t xml:space="preserve">Metody oceny: </w:t>
      </w:r>
    </w:p>
    <w:p>
      <w:pPr>
        <w:spacing w:before="20" w:after="190"/>
      </w:pPr>
      <w:r>
        <w:rPr/>
        <w:t xml:space="preserve">Do zaliczenia ćwiczeń wymagane jest: uzyskanie min. 60% z maksymalnej liczby punktów możliwych do uzyskania z kolejnych modułów ćwiczeń. Do każdego modułu przyporządkowana jest określona liczba punktowanych zadań. Studenci rozwiązują zadania na zajęciach, otrzymując punkty przyporządkowane do rozwiązanych zadań. Każde zadanie jest omawiane wspólnie na forum grupy i prezentowane przez jedną z osób w grupie. Za prawidłowe przedstawienie rozwiązania student otrzymuje 1 punkt dodatkowy. Zadania nierozwiązane podczas zajęć studenci rozwiązują w ramach pracy własnej i przedstawiają rozwiązanie prowadzącemu ćwiczenia w ustalonym terminie. 
Nieusprawiedliwiona nieobecność na więcej niż 1 zajęciach oznacza niezaliczenie przedmiotu. Student nieobecny na zajęciach ma obowiązek zgłosić się do prowadzącego (mail, osobiście) celem uzgodnienia terminu odrobienia ćwiczeń. Ocena końcowa obliczana jest na podstawie sumy punktów zebranych dla wszystkich modułów ćwiczeń. Przygotowanie do części zajęć w postaci szkoleń e-learningowych. Student jest zobowiązany dostarczyć certyfikat ukończenia wskazanych przez prowadzącego szkoleń przed rozpoczęciem zajęć z danej tematyki w podanym terminie. Ocena końcowa obliczona jest na podstawie procentowej liczby zdobytych punktów wg skali: 3,0: &lt;60% - 68%), 3,5: &lt;68% – 76%), 4,0: &lt;76% - 84%), 4,5: &lt;84% - 92%), 5,0: &lt;92% - 100%&gt; maksymalnej l.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Zed A. Shaw „Learn Python, the hard way”, (ebook pdf), 2013, 
2. Allen Downey „Think Python. How to Think Like a Computer Scientist”, (ebook pdf), 2012, 
3. Wikibook „Zanurkuj w Pythonie” https://pl.wikibooks.org/wiki/Zanurkuj_w_Pythonie. 
4. Python GDAL/OGR Cookbook https://pcjericks.github.io/py-gdalogr-cookbook/index.html 
5. Xiao N., GIS Algorithms, Sage London, 2016. 
6. Paul A. Zandbergen „Python. Scripting for ArcGIS” https://docs.python.org/2/tutorial/ http://www.diveintopython.net/ http://resources.arcgis.com/en/communities/python/ 
7. materiały z kursów e-learningowych,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GK.SMS295_W1: </w:t>
      </w:r>
    </w:p>
    <w:p>
      <w:pPr/>
      <w:r>
        <w:rPr/>
        <w:t xml:space="preserve">Zna podstawowe podstawowe typy danych i instrukcje języka Python.</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T2A_W04, T2A_W10, T2A_W06, T2A_W07, T2A_W04, T2A_W07, T2A_W08</w:t>
      </w:r>
    </w:p>
    <w:p>
      <w:pPr>
        <w:keepNext w:val="1"/>
        <w:spacing w:after="10"/>
      </w:pPr>
      <w:r>
        <w:rPr>
          <w:b/>
          <w:bCs/>
        </w:rPr>
        <w:t xml:space="preserve">Efekt GK.SMS295_W2: </w:t>
      </w:r>
    </w:p>
    <w:p>
      <w:pPr/>
      <w:r>
        <w:rPr/>
        <w:t xml:space="preserve">Zna możliwości wykorzystania języka programowania Python w środowisku ArcGIS.</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T2A_W07, T2A_W08</w:t>
      </w:r>
    </w:p>
    <w:p>
      <w:pPr>
        <w:keepNext w:val="1"/>
        <w:spacing w:after="10"/>
      </w:pPr>
      <w:r>
        <w:rPr>
          <w:b/>
          <w:bCs/>
        </w:rPr>
        <w:t xml:space="preserve">Efekt GK.SMS295_W3: </w:t>
      </w:r>
    </w:p>
    <w:p>
      <w:pPr/>
      <w:r>
        <w:rPr/>
        <w:t xml:space="preserve">Wie, gdzie szukać podpowiedzi w przypadku problemów ze skryptem.</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GK.SMS295_U1: </w:t>
      </w:r>
    </w:p>
    <w:p>
      <w:pPr/>
      <w:r>
        <w:rPr/>
        <w:t xml:space="preserve">Potrafi wykonywać programy pozwalające na podstawowe przetwarzanie danych tekstowych oraz przestrzennych.</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K_U03, K_U04, K_U05</w:t>
      </w:r>
    </w:p>
    <w:p>
      <w:pPr>
        <w:spacing w:before="20" w:after="190"/>
      </w:pPr>
      <w:r>
        <w:rPr>
          <w:b/>
          <w:bCs/>
        </w:rPr>
        <w:t xml:space="preserve">Powiązane efekty obszarowe: </w:t>
      </w:r>
      <w:r>
        <w:rPr/>
        <w:t xml:space="preserve">T2A_U04, T2A_U06, T2A_U04, T2A_U10, T2A_U11</w:t>
      </w:r>
    </w:p>
    <w:p>
      <w:pPr>
        <w:keepNext w:val="1"/>
        <w:spacing w:after="10"/>
      </w:pPr>
      <w:r>
        <w:rPr>
          <w:b/>
          <w:bCs/>
        </w:rPr>
        <w:t xml:space="preserve">Efekt GK.SMS295_U2: </w:t>
      </w:r>
    </w:p>
    <w:p>
      <w:pPr/>
      <w:r>
        <w:rPr/>
        <w:t xml:space="preserve">Potrafi ciąg czynności zastępować pojedynczą złożoną instrukcją.</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K_U07, K_U16, K_U18</w:t>
      </w:r>
    </w:p>
    <w:p>
      <w:pPr>
        <w:spacing w:before="20" w:after="190"/>
      </w:pPr>
      <w:r>
        <w:rPr>
          <w:b/>
          <w:bCs/>
        </w:rPr>
        <w:t xml:space="preserve">Powiązane efekty obszarowe: </w:t>
      </w:r>
      <w:r>
        <w:rPr/>
        <w:t xml:space="preserve">T2A_U16, T2A_U15, T2A_U09, T2A_U18, T2A_U19, T2A_U15, T2A_U10, T2A_U16</w:t>
      </w:r>
    </w:p>
    <w:p>
      <w:pPr>
        <w:keepNext w:val="1"/>
        <w:spacing w:after="10"/>
      </w:pPr>
      <w:r>
        <w:rPr>
          <w:b/>
          <w:bCs/>
        </w:rPr>
        <w:t xml:space="preserve">Efekt GK.SMS295_U3: </w:t>
      </w:r>
    </w:p>
    <w:p>
      <w:pPr/>
      <w:r>
        <w:rPr/>
        <w:t xml:space="preserve">Potrafi tworzyć narzędzia uniwersalnego użytku.</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K_U14, K_U18</w:t>
      </w:r>
    </w:p>
    <w:p>
      <w:pPr>
        <w:spacing w:before="20" w:after="190"/>
      </w:pPr>
      <w:r>
        <w:rPr>
          <w:b/>
          <w:bCs/>
        </w:rPr>
        <w:t xml:space="preserve">Powiązane efekty obszarowe: </w:t>
      </w:r>
      <w:r>
        <w:rPr/>
        <w:t xml:space="preserve">T2A_U05, T2A_U12, T2A_U17, T2A_U18, T2A_U07, T2A_U10, T2A_U12, T2A_U16, T2A_U17, T2A_U18, T2A_U19, T2A_U10, T2A_U16</w:t>
      </w:r>
    </w:p>
    <w:p>
      <w:pPr>
        <w:keepNext w:val="1"/>
        <w:spacing w:after="10"/>
      </w:pPr>
      <w:r>
        <w:rPr>
          <w:b/>
          <w:bCs/>
        </w:rPr>
        <w:t xml:space="preserve">Efekt GK.SMS295_U4: </w:t>
      </w:r>
    </w:p>
    <w:p>
      <w:pPr/>
      <w:r>
        <w:rPr/>
        <w:t xml:space="preserve">Potrafi gotowe proste skrypty dostosowywać do swoich potrzeb.</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K_U17</w:t>
      </w:r>
    </w:p>
    <w:p>
      <w:pPr>
        <w:spacing w:before="20" w:after="190"/>
      </w:pPr>
      <w:r>
        <w:rPr>
          <w:b/>
          <w:bCs/>
        </w:rPr>
        <w:t xml:space="preserve">Powiązane efekty obszarowe: </w:t>
      </w:r>
      <w:r>
        <w:rPr/>
        <w:t xml:space="preserve">T2A_U05, T2A_U12, T2A_U17, T2A_U18, T2A_U08, T2A_U09, T2A_U10, T2A_U12, T2A_U19</w:t>
      </w:r>
    </w:p>
    <w:p>
      <w:pPr>
        <w:keepNext w:val="1"/>
        <w:spacing w:after="10"/>
      </w:pPr>
      <w:r>
        <w:rPr>
          <w:b/>
          <w:bCs/>
        </w:rPr>
        <w:t xml:space="preserve">Efekt GK.SMS295_U5: </w:t>
      </w:r>
    </w:p>
    <w:p>
      <w:pPr/>
      <w:r>
        <w:rPr/>
        <w:t xml:space="preserve">Umie wybrać, dopasować i zaimplementować wybrane algorytmy w zależności od potrzeb zagadnienia.</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K_U16, K_U17</w:t>
      </w:r>
    </w:p>
    <w:p>
      <w:pPr>
        <w:spacing w:before="20" w:after="190"/>
      </w:pPr>
      <w:r>
        <w:rPr>
          <w:b/>
          <w:bCs/>
        </w:rPr>
        <w:t xml:space="preserve">Powiązane efekty obszarowe: </w:t>
      </w:r>
      <w:r>
        <w:rPr/>
        <w:t xml:space="preserve">T2A_U05, T2A_U12, T2A_U17, T2A_U18, T2A_U09, T2A_U18, T2A_U19, T2A_U15,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GK.SMS295_K1: </w:t>
      </w:r>
    </w:p>
    <w:p>
      <w:pPr/>
      <w:r>
        <w:rPr/>
        <w:t xml:space="preserve">Ma świadomość korzyści wynikających z automatyzacji przetwarzania danych.</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GK.SMS295_K2: </w:t>
      </w:r>
    </w:p>
    <w:p>
      <w:pPr/>
      <w:r>
        <w:rPr/>
        <w:t xml:space="preserve">Potrafi ocenić poprawność oraz przydatność przygotowanych narzędzi.</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T2A_K06,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2026-10-03T00:08:21+02:00</dcterms:created>
  <dcterms:modified xsi:type="dcterms:W3CDTF">2026-10-03T00:08:21+02:00</dcterms:modified>
</cp:coreProperties>
</file>

<file path=docProps/custom.xml><?xml version="1.0" encoding="utf-8"?>
<Properties xmlns="http://schemas.openxmlformats.org/officeDocument/2006/custom-properties" xmlns:vt="http://schemas.openxmlformats.org/officeDocument/2006/docPropsVTypes"/>
</file>