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Przedstawienie katastru jako podstawy tworzenia Zintegrowanego Systemu Informacji o Nieruchomościach. Zapoznanie się z systemami katastralnymi funkcjonującymi w krajach Unii Europejskiej oraz kierunkami rozwoju katastru na świecie.</w:t>
      </w:r>
    </w:p>
    <w:p>
      <w:pPr>
        <w:keepNext w:val="1"/>
        <w:spacing w:after="10"/>
      </w:pPr>
      <w:r>
        <w:rPr>
          <w:b/>
          <w:bCs/>
        </w:rPr>
        <w:t xml:space="preserve">Treści kształcenia: </w:t>
      </w:r>
    </w:p>
    <w:p>
      <w:pPr>
        <w:spacing w:before="20" w:after="190"/>
      </w:pPr>
      <w:r>
        <w:rPr/>
        <w:t xml:space="preserve">Wykład:
Szczegółowe zasady pozyskiwania danych o budynkach dla celów związanych z modernizacją katastru nieruchomości – analiza przypadków praktycznych oraz orzecznictwa.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i PN-ISO 9836:1997) oraz zagraniczne (ANSI/BOMA Z65.1-2010, norma GIF, standardy RISC). Zasady weryfikacji powierzchni inwentaryzowanych obiektów (lokali) – analiza dokładnościowa. 
Aktualne procedury przepływu informacji katastralnej w Polsce – między systemami katastru i ksiąg wieczystych. Synchronizacja danych katastru nieruchomości i ksiąg wieczystych – procedura i niezbędna dokumentacja geodezyjno-kartograficzna.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 katastralny w Polsce w świetle teorii martwego kapitału Hernando de Soto. Systemy katastralne w wybranych krajach Unii Europejskiej (Holandia, Austria, Szwecja, Niemcy – wybrane landy) – aspekty organizacyjne i techniczne, powiązanie komponentu katastru fizycznego z księgami wieczystymi oraz odniesienie do rozwiązań polskich. Światowe wizje rozwoju systemów katastralnych (Cadastre 2014 – a vision for a future cadastral system, Cadastre 2014 and Beyond). Kataster 3D – idea katastru trójwymiarowego, rozwiązania istniejące, proponowane rozwiązania modelowe, kierunki badań.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wyznaczenia punktów granicznych ujawnionych uprzednio w ewidencji gruntów i budynków wraz z obliczeniami, szkicem do obliczeń, zawiadomieniami stron o ww. czynnościach i sprawozdaniem technicznym. 
Obliczenie powierzchni użytkowej lokalu na podstawie rzutu poziomego dla celów katastralnych tj. zgodnie z ustawą z dnia 21 czerwca 2001 r. – o ochronie praw lokatorów, mieszkaniowym zasobie gminy  i o zmianie Kodeksu cywilnego.                          
Zastosowanie w praktyce zasad weryfikacji powierzchni inwentaryzowanych obiektów (lokali) – obliczenie granicznych wartości pola powierzchni lokalu, z uwzględnieniem  wymaganych dokładności pomiaru elementów liniowych i analiza dokładnościowa.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Hernando de Soto „Tajemnica kapitału” Wyd. Fijorr Publishing and Polish-American Foundation for Economic Reseach and Education, Chciago-Warszawa 2002.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2026-10-03T19:59:41+02:00</dcterms:created>
  <dcterms:modified xsi:type="dcterms:W3CDTF">2026-10-03T19:59:41+02:00</dcterms:modified>
</cp:coreProperties>
</file>

<file path=docProps/custom.xml><?xml version="1.0" encoding="utf-8"?>
<Properties xmlns="http://schemas.openxmlformats.org/officeDocument/2006/custom-properties" xmlns:vt="http://schemas.openxmlformats.org/officeDocument/2006/docPropsVTypes"/>
</file>