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uczestnictwo w wykładach - 30 godzin
b) uczestnictwo w ćwiczeniach - 30 godzin,
c) udział w konsultacjach związanych z realizacją ćwiczeń - 5 godzin.
2) Praca własna studenta -  60 godzin, w tym:
a) zapoznanie się ze wskazaną literaturą - 15 godzin,
b)  realizacja zadań projektowych w domu - 20 godzin,
c) przygotowanie do egzaminu  i obecność na egzaminie - 25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godzin, w tym:
a) uczestnictwo w wykładach - 30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ćwiczeniach - 30 godzin,
b)  realizacja zadań projektowych w domu - 20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prowadzonego na studiach pierwszego stopnia.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 Przedstawienie katastru jako podstawy tworzenia Zintegrowanego Systemu Informacji o Nieruchomościach. Zapoznanie się z systemami katastralnymi funkcjonującymi w krajach Unii Europejskiej oraz kierunkami rozwoju katastru na świecie.</w:t>
      </w:r>
    </w:p>
    <w:p>
      <w:pPr>
        <w:keepNext w:val="1"/>
        <w:spacing w:after="10"/>
      </w:pPr>
      <w:r>
        <w:rPr>
          <w:b/>
          <w:bCs/>
        </w:rPr>
        <w:t xml:space="preserve">Treści kształcenia: </w:t>
      </w:r>
    </w:p>
    <w:p>
      <w:pPr>
        <w:spacing w:before="20" w:after="190"/>
      </w:pPr>
      <w:r>
        <w:rPr/>
        <w:t xml:space="preserve">Wykład:
Szczegółowe zasady pozyskiwania danych o budynkach dla celów związanych z modernizacją katastru nieruchomości – analiza przypadków praktycznych oraz orzecznictwa. Zaliczanie gruntów do poszczególnych użytków gruntowych – analiza przypadków praktycznych, interpretacja przepisów, orzecznictwo, skutki prawne. Zasady obliczania powierzchni użytkowej lokali dla celów związanych z prowadzeniem katastru oraz dla celów związanych z gospodarką nieruchomościami. Normy branżowe polskie (PN-70/B-02365 i PN-ISO 9836:1997) oraz zagraniczne (ANSI/BOMA Z65.1-2010, norma GIF, standardy RISC). Zasady weryfikacji powierzchni inwentaryzowanych obiektów (lokali) – analiza dokładnościowa. 
Aktualne procedury przepływu informacji katastralnej w Polsce – między systemami katastru i ksiąg wieczystych. Synchronizacja danych katastru nieruchomości i ksiąg wieczystych – procedura i niezbędna dokumentacja geodezyjno-kartograficzna. Zintegrowany System Informacji o Nieruchomościach – założenia systemu, program budowy ZSIN w Polsce. Aspekt historyczny związany z budową Zintegrowanego Systemu Katastralnego (ZSK) w Polsce (Projekty PHARE i wdrożona Integrująca Platforma Elektroniczna oraz programy MATRA l, MATRA 2). System katastralny w Polsce w świetle teorii martwego kapitału Hernando de Soto. Systemy katastralne w wybranych krajach Unii Europejskiej (Holandia, Austria, Szwecja, Niemcy – wybrane landy) – aspekty organizacyjne i techniczne, powiązanie komponentu katastru fizycznego z księgami wieczystymi oraz odniesienie do rozwiązań polskich. Światowe wizje rozwoju systemów katastralnych (Cadastre 2014 – a vision for a future cadastral system, Cadastre 2014 and Beyond). Kataster 3D – idea katastru trójwymiarowego, rozwiązania istniejące, proponowane rozwiązania modelowe, kierunki badań.
Ćwiczenia projektowe:
 Przygotowanie dokumentacji modernizacji ewidencji gruntów i budynków, w tym założenie bazy danych ewidencyjnych w programach Ewmapa i Ewopis oraz sporządzenie dokumentacji w postaci analogowej obejmującej: Spis dokumentów operatu technicznego, Sprawozdanie techniczne zawierające w szczególności analizę zapisów warunków technicznych obiektu pod kątem ich zgodności z obowiązującymi przepisami prawa, Protokoły badań ksiąg wieczystych, Obliczenia pól powierzchni działek ewidencyjnych oraz powierzchni zabudowy, Wyrys z mapy ewidencyjnej, Wypisy z rejestru gruntów, Wypis z rejestru budynków, Wypis z rejestru lokali.
Pozyskanie danych do numerycznego opisu granic działek ewidencyjnych na podstawie dokumentacji źródłowej (zarysy pomiarowe, szkice wyznaczenia działek po scaleniu itd.) oraz sporządzenie dokumentacji w postaci protokołu wyznaczenia punktów granicznych ujawnionych uprzednio w ewidencji gruntów i budynków wraz z obliczeniami, szkicem do obliczeń, zawiadomieniami stron o ww. czynnościach i sprawozdaniem technicznym. 
Obliczenie powierzchni użytkowej lokalu na podstawie rzutu poziomego dla celów katastralnych tj. zgodnie z ustawą z dnia 21 czerwca 2001 r. – o ochronie praw lokatorów, mieszkaniowym zasobie gminy  i o zmianie Kodeksu cywilnego.                          
Zastosowanie w praktyce zasad weryfikacji powierzchni inwentaryzowanych obiektów (lokali) – obliczenie granicznych wartości pola powierzchni lokalu, z uwzględnieniem  wymaganych dokładności pomiaru elementów liniowych i analiza dokładnościowa.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(Dz.U.2010.193.1287 z późn. zmianami),
Rozporządzenie Ministra Rozwoju Regionalnego i Budownictwa z dnia 29 marca 2001r. w sprawie ewidencji gruntów i budynków (Dz. U. z dnia 2 maja 2001r. z późn. zmianami),
Rozporządzenie Ministra Infrastruktury z dnia 12 kwietnia 2002r. w sprawie warunków technicznych, jakim powinny odpowiadać budynki i ich usytuowanie (Dz.U.2002.75.690)
Rozporządzenie Rady Ministrów z dnia 10 grudnia 2010r. w sprawie Klasyfikacji Środków Trwałych (KŚT) (Dz.U.2010.242.1622),
Rozporządzenie Rady Ministrów z dnia 30 grudnia 1999r. w sprawie Polskiej Klasyfikacji Obiektów Budowlanych (PKOB) (Dz.U.1999.112.1316),
Rozporządzenie Ministra Administracji i Cyfryzacji z dnia 9 stycznia 2012r. w sprawie ewidencji miejscowości, ulic i adresów (Dz.U.2012.125)
Ustawa z dnia 24 czerwca 1994 r. o własności lokali. (Dz.U.2000.80.903),
Ustawa z dnia 21 czerwca 2001 r. – o ochronie praw lokatorów, mieszkaniowym zasobie gminy  i o zmianie Kodeksu cywilnego (Dz.U.2014.150),
Ustawa z dnia 23 kwietnia 1964r. Kodeks Cywilny (Dz.U.2014.121 z późn. zmianami)
Ustawa z dnia 17 listopada 1964r. – Kodeks postępowania cywilnego (Dz. U. 2014, poz. 101)
Rozporządzenie Ministra Sprawiedliwości z dnia 23 lutego 2007r. – Regulamin urzędowania sądów powszechnych (Dz.U. 2007 nr 38 poz. 249)
Ustawa z dnia 6 lipca 1982r. o księgach wieczystych i hipotece (Dz.U.2013.707 z późn. zmianami),
Rozporządzenie Ministra Sprawiedliwości z dnia 21 listopada 2013r. w sprawie zakładania i prowadzenia ksiąg wieczystych w systemie informatycznym (Dz.U.2013.1411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(PN-70/B-02365 i PN-ISO 9836:1997, ANSI/BOMA Z65.1-2010, norma GIF, standardy RISC).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Hernando de Soto „Tajemnica kapitału” Wyd. Fijorr Publishing and Polish-American Foundation for Economic Reseach and Education, Chciago-Warszawa 2002. 
Orzecznictwo sądowe w omawianym zakresie.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GK.SMS271_W1: </w:t>
      </w:r>
    </w:p>
    <w:p>
      <w:pPr/>
      <w:r>
        <w:rPr/>
        <w:t xml:space="preserve">Ma specjalistyczną, poszerzoną i uporządkowaną wiedzę na temat źródeł i zasad zasilania baz danych katastralnych, w tym szczegółową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 </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T2A_W04, T2A_W07, T2A_W08, T2A_W03, T2A_W10, T2A_W08, T2A_W09, T2A_W02, T2A_W03, T2A_W04, T2A_W05</w:t>
      </w:r>
    </w:p>
    <w:p>
      <w:pPr>
        <w:pStyle w:val="Heading3"/>
      </w:pPr>
      <w:bookmarkStart w:id="3" w:name="_Toc3"/>
      <w:r>
        <w:t>Profil ogólnoakademicki - umiejętności</w:t>
      </w:r>
      <w:bookmarkEnd w:id="3"/>
    </w:p>
    <w:p>
      <w:pPr>
        <w:keepNext w:val="1"/>
        <w:spacing w:after="10"/>
      </w:pPr>
      <w:r>
        <w:rPr>
          <w:b/>
          <w:bCs/>
        </w:rPr>
        <w:t xml:space="preserve">Efekt GK.SMS271_U1: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K_U14, K_U15, K_U16, K_U18</w:t>
      </w:r>
    </w:p>
    <w:p>
      <w:pPr>
        <w:spacing w:before="20" w:after="190"/>
      </w:pPr>
      <w:r>
        <w:rPr>
          <w:b/>
          <w:bCs/>
        </w:rPr>
        <w:t xml:space="preserve">Powiązane efekty obszarowe: </w:t>
      </w:r>
      <w:r>
        <w:rPr/>
        <w:t xml:space="preserve">T2A_U09, T2A_U16, T2A_U18, T2A_U15, T2A_U07, T2A_U08, T2A_U10, T2A_U12, T2A_U16, T2A_U15, T2A_U07, T2A_U08, T2A_U09, T2A_U10, T2A_U14, T2A_U17, T2A_U18, T2A_U07, T2A_U09, T2A_U10, T2A_U12, T2A_U15</w:t>
      </w:r>
    </w:p>
    <w:p>
      <w:pPr>
        <w:pStyle w:val="Heading3"/>
      </w:pPr>
      <w:bookmarkStart w:id="4" w:name="_Toc4"/>
      <w:r>
        <w:t>Profil ogólnoakademicki - kompetencje społeczne</w:t>
      </w:r>
      <w:bookmarkEnd w:id="4"/>
    </w:p>
    <w:p>
      <w:pPr>
        <w:keepNext w:val="1"/>
        <w:spacing w:after="10"/>
      </w:pPr>
      <w:r>
        <w:rPr>
          <w:b/>
          <w:bCs/>
        </w:rPr>
        <w:t xml:space="preserve">Efekt GK.SMS271_K1: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2026-06-17T14:47:09+02:00</dcterms:created>
  <dcterms:modified xsi:type="dcterms:W3CDTF">2026-06-17T14:47:09+02:00</dcterms:modified>
</cp:coreProperties>
</file>

<file path=docProps/custom.xml><?xml version="1.0" encoding="utf-8"?>
<Properties xmlns="http://schemas.openxmlformats.org/officeDocument/2006/custom-properties" xmlns:vt="http://schemas.openxmlformats.org/officeDocument/2006/docPropsVTypes"/>
</file>