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Funkcje mieszkaniowe w rozwoju miast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Alina Muzioł-Węcławowicz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GP.NMS303U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- 38 godzin, w tym:
a) 16 godz. - obecność na wykładach, 
b) 16 godz. - obecność na zajęciach projektowych, 
c) 6 godz. - konsultacje indywidualne
2) Praca własna studenta - 38 godzin, w tym:
a) 7 godz. - zapoznanie z literaturą, 
b) 16 godz. - przygotowanie projektów, 
c) 15 godz. - przygotowanie do egzaminu
Łącznie nakład pracy studenta wynosi 76 godzin, co odpowiada 3 pkt.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kontaktowych - 38 godzin, w tym:
a) 16 godz. - obecność na wykładach, 
b) 16 godz. - obecność na zajęciach projektowych, 
c) 6 godz. - konsultacje indywidualne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 - 38 godzin, w tym:
b) 16 godz. - obecność na zajęciach projektowych, 
c) 6 godz. - konsultacje indywidualne,
b) 16 godz. - przygotowanie projektów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zasad kształtowania przestrzeni, podstawowa orientacja w zakresie mieszkalnictwa /rodzaje zasobów, struktura wieku, własności, warunki mieszkaniowe/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30 - studentów na wykładzie, 30 - studentów na ćwiczeniach projektowych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koncepcją teoretyczną funkcji mieszkaniowych w miastach i ich rolą w rozwoju miast, zapoznanie z ekonomicznymi i socjologicznymi zagadnieniami mieszkalnictwa, z
kompetencjami i obowiązkami gmin w zakresie mieszkalnictwa, zasadami polityki mieszkaniowej państwa, uwarunkowaniami mieszkalnictwa jako funkcji rozwojowej miasta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Funkcje miast – funkcje mieszkaniowe 
2. Mieszkanie jako potrzeba społeczna 
3. Potrzeby mieszkaniowe – prawo do mieszkania - warunki mieszkaniowe - jakość mieszkań 
4. Sektory mieszkaniowe 
5. Przestrzenne zróżnicowanie mieszkalnictwa w miastach 
6. Publiczne polityki mieszkaniowe 
7. Rola mieszkalnictwa w rozwoju miast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- odpowiedź na kilka (5 - 7) pytań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Cesarski M., 2013, Polityka mieszkaniowa w Polsce w pracach naukowych 1918 – 2010, Oficyna Wydawnicza SGH, Warszawa
Jewdokimow M., Zmiany społecznych praktyk zamieszkiwania, 2011, Wydawnictwo UKSW, Warszawa
Narodowy Spis Powszechny Ludności i Mieszkań 2011, GUS
Główne problemy, cele i kierunki programu wspierania rozwoju budownictwa mieszkaniowego do 2020 r., 2010, Ministerstwo Infrastruktury i Rozwoju 
Salamon M., Muzioł-Węcławowicz A., (red.), 2015, Mieszkalnictwo w Polsce. Analiza wybranych obszarów polityki mieszkaniowej, Fundacja Habitat for Humanity, Warszawa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GP.NMS303U_W1: </w:t>
      </w:r>
    </w:p>
    <w:p>
      <w:pPr/>
      <w:r>
        <w:rPr/>
        <w:t xml:space="preserve">orientuje się w kompetencjach w zakresie mieszkalnictwa społecznego (UE - państwa członkowskie - regiony - podstawowe jednostki samorządu terytorialnego)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GP.NMS303U_W2: </w:t>
      </w:r>
    </w:p>
    <w:p>
      <w:pPr/>
      <w:r>
        <w:rPr/>
        <w:t xml:space="preserve">zna kompetencje samorządu regionalnego w zakresie wykorzystania środków funduszy strukturalnych UE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S2A_W07</w:t>
      </w:r>
    </w:p>
    <w:p>
      <w:pPr>
        <w:keepNext w:val="1"/>
        <w:spacing w:after="10"/>
      </w:pPr>
      <w:r>
        <w:rPr>
          <w:b/>
          <w:bCs/>
        </w:rPr>
        <w:t xml:space="preserve">Efekt GP.NMS303U_W3: </w:t>
      </w:r>
    </w:p>
    <w:p>
      <w:pPr/>
      <w:r>
        <w:rPr/>
        <w:t xml:space="preserve">zna zasady funkcjonowania programów rządowych popierania budownictwa mieszkaniowego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S2A_W07</w:t>
      </w:r>
    </w:p>
    <w:p>
      <w:pPr>
        <w:keepNext w:val="1"/>
        <w:spacing w:after="10"/>
      </w:pPr>
      <w:r>
        <w:rPr>
          <w:b/>
          <w:bCs/>
        </w:rPr>
        <w:t xml:space="preserve">Efekt GP.NMS303U_W4: </w:t>
      </w:r>
    </w:p>
    <w:p>
      <w:pPr/>
      <w:r>
        <w:rPr/>
        <w:t xml:space="preserve">zna regulacje z zakresu ochrony praw lokatorów, zna podstawowe problemy relacji wynajmujący - najemca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S2A_W03, S2A_W05, T2A_W02</w:t>
      </w:r>
    </w:p>
    <w:p>
      <w:pPr>
        <w:keepNext w:val="1"/>
        <w:spacing w:after="10"/>
      </w:pPr>
      <w:r>
        <w:rPr>
          <w:b/>
          <w:bCs/>
        </w:rPr>
        <w:t xml:space="preserve">Efekt GP.NMS303U_W5: </w:t>
      </w:r>
    </w:p>
    <w:p>
      <w:pPr/>
      <w:r>
        <w:rPr/>
        <w:t xml:space="preserve">orientuje się w zagadnieniach potrzeb społecznych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T2A_W08</w:t>
      </w:r>
    </w:p>
    <w:p>
      <w:pPr>
        <w:keepNext w:val="1"/>
        <w:spacing w:after="10"/>
      </w:pPr>
      <w:r>
        <w:rPr>
          <w:b/>
          <w:bCs/>
        </w:rPr>
        <w:t xml:space="preserve">Efekt GP.NMS303U_W6: </w:t>
      </w:r>
    </w:p>
    <w:p>
      <w:pPr/>
      <w:r>
        <w:rPr/>
        <w:t xml:space="preserve">zna podstawowe zasady funkcji miejskich, potrafi wyróżnić funkcje endogeniczne i egzogeniczne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K_W09,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T2A_W08, T2A_W10, T2A_W08, T2A_W10,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GP.NMS303U_U1: </w:t>
      </w:r>
    </w:p>
    <w:p>
      <w:pPr/>
      <w:r>
        <w:rPr/>
        <w:t xml:space="preserve">umie przeprowadzić analizę form zamieszkiwania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S2A_U06, S2A_U07</w:t>
      </w:r>
    </w:p>
    <w:p>
      <w:pPr>
        <w:keepNext w:val="1"/>
        <w:spacing w:after="10"/>
      </w:pPr>
      <w:r>
        <w:rPr>
          <w:b/>
          <w:bCs/>
        </w:rPr>
        <w:t xml:space="preserve">Efekt GP.NMS303U_U2: </w:t>
      </w:r>
    </w:p>
    <w:p>
      <w:pPr/>
      <w:r>
        <w:rPr/>
        <w:t xml:space="preserve">potrafi pozyskać informacje o potrzebach mieszkaniowych w układzie lokalnym i opracować prognozę zapotrzebowania na mieszkania w głównych sektorach mieszkalnictwa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projektów, 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S2A_U06, S2A_U07, S2A_U03</w:t>
      </w:r>
    </w:p>
    <w:p>
      <w:pPr>
        <w:keepNext w:val="1"/>
        <w:spacing w:after="10"/>
      </w:pPr>
      <w:r>
        <w:rPr>
          <w:b/>
          <w:bCs/>
        </w:rPr>
        <w:t xml:space="preserve">Efekt GP.NMS303U_U3: </w:t>
      </w:r>
    </w:p>
    <w:p>
      <w:pPr/>
      <w:r>
        <w:rPr/>
        <w:t xml:space="preserve">potrafi analizować i ocenić rangę funkcji mieszkaniowych w rozwoju lokalnym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K_U05, K_U08, K_U11_UR, K_U12_UR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S2A_U06, S2A_U07, P2A_U04, S2A_U03, T2A_U07, T2A_U10, S2A_U04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GP.NMS303U_K1: </w:t>
      </w:r>
    </w:p>
    <w:p>
      <w:pPr/>
      <w:r>
        <w:rPr/>
        <w:t xml:space="preserve">potrafi prowadzić konsultacje ze specjalistami i społecznością lokalną dotyczące potrzeb mieszkaniowych i rozwoju funkcji mieszkaniowych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projektów, 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S2A_K05</w:t>
      </w:r>
    </w:p>
    <w:p>
      <w:pPr>
        <w:keepNext w:val="1"/>
        <w:spacing w:after="10"/>
      </w:pPr>
      <w:r>
        <w:rPr>
          <w:b/>
          <w:bCs/>
        </w:rPr>
        <w:t xml:space="preserve">Efekt GP.NMS303U_K2: </w:t>
      </w:r>
    </w:p>
    <w:p>
      <w:pPr/>
      <w:r>
        <w:rPr/>
        <w:t xml:space="preserve">orientuje się w zasadach i warunkach funkcjonowania programów wspierania mieszkalnictwa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2026-05-01T23:10:32+02:00</dcterms:created>
  <dcterms:modified xsi:type="dcterms:W3CDTF">2026-05-01T23:10:32+02:00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