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Estetyczne aspekty przestrzeni publicznych (przedmiot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Borowska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.60 godz. 
W tym 30 godz. wykłady, 15 godz. przygotowanie do sprawdzianu, 15 godz. napisanie eseju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.Przygotowanie studentów do odpowiedzialnego podejmowania decyzji dotyczących wyglądu miasta, jego wizerunku, dziedzictwa kulturowego oraz sztuki w przestrzeni publicznej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wykładów mogą być omawiane treści takie jak
- znaczenie pojęcia "estetyka", "sztuka", "natura człowieka" oraz ich fundamentalne znaczenie w tworzeniu/kształtowaniu się kultury
- wartości artystyczne, wartości estetyczne, wartości pozaestetyczne
- przestrzeń publiczna miasta a przestrzeń wspólna
- przestrzenie sakralne i miejsca niezwykłe. Przestrzenie władzy.
- centrum i peryferie. Przestrzenie pustki. Skale i proporcje.
- miejski design i ozdoby miasta (fasady, okna wystawowe,  szyldy, reklamy w tym wielkoformato-we i bilboardy)
- światło i kolor. Iluminacja jako narzędzie estetyzacji miasta. Neony
- sztuka przestrzeni publicznej; sztuka w publicznym interesie;  sztuka w przestrzeni publicznej. Współczesne projekty artystyczne w historycznej przestrzeni miasta
- miasto i natura. Różne sposoby myślenia o zieleni w przestrzeni miejskiej
- odpowiedzialność za kształt przestrzeni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obejmujące materiał wykładów
Napisanie eseju na temat trzech wylosowanych haseł zaczerpniętych z omawianych na wykładach zagadnień
1.	Jeden esej: 10 punktów; 
2.	Jeden sprawdzian 10 punktów; 
Ocena za przedmiot
Ocena	Student, który zaliczył przedmiot (moduł) wie / umie / potrafi:
3.0	Uzyskał co najmniej 10,5 punktów 
3.5	Uzyskał co najmniej 12 punktów 
4.0	Uzyskał co najmniej 14  punktów 
4.5	Uzyskał co najmniej 16  punktów
5.0	Uzyskał co najmniej 18 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.1. Marc Augé, Nie-miejsca. Wprowadzenie do antropologii hipernowoczesności. Warszawa 2010
2. Jan Gehl, Życie między budynkami. Użytkowanie przestrzeni publicznych. Kraków 2009.  
3. Ewa Rewers, Post-Polis. Wstęp do filozofii ponowoczesnego miasta. Kraków 2005.
4. Wizualność miasta. Wytwarzanie miejskiej ikonosfery. Poznań 2007.
5. Krystyna Gutowska, Zrozumieć sztukę.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Posiada elementarną wiedzę o różnych instytucjach, które mają wpływ na kształt miejskiej przestrzeni publicznej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podstawową wiedzę o regulacjach prawnych odnoszących się do przestrzeni publicznej (np. umieszczania w niej pomników, szyldów, reklam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K_W10; K_W26_UR: </w:t>
      </w:r>
    </w:p>
    <w:p>
      <w:pPr/>
      <w:r>
        <w:rPr/>
        <w:t xml:space="preserve">Zna i rozumie zależności pomiędzy estetyką i dziedzinami takimi jak administracja, urbanistyka, architektura krajobrazu, projektowanie zieleni, na poziomie umożliwiającym interdyscyplinarną i multidyscyplinarną  pracę ze specjalistami innych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
prezentacja stanowiąca przykład analizy otoczenia z zastosowaniem kategorii estetycznych 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dokonać obserwacji i interpretacji otaczających go zjawisk w sferze przestrzeni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ta powinna uwidocznić się w przygotowywanej  prezentacji, stanowiącej przykład analizy otoczenia z zastosowaniem kategorii estetycznych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K_U22: </w:t>
      </w:r>
    </w:p>
    <w:p>
      <w:pPr/>
      <w:r>
        <w:rPr/>
        <w:t xml:space="preserve">Potrafi zastosować teoretyczną wiedzę z zakresu estetyki, zarządzania oraz wymienionych wyżej dyscyplin humanistycznych do obróbki danych praktycznych, uzyskanych poprzez obserwację przestrzeni publicznej miasta, w szczególności umie wskazać istotę problemów oraz sposoby ich rozwiązywania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wyżej oraz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Ma kompetencje wizualne wystarczające, by zauważyć ład i harmonię otoczenia oraz odróżnić otoczenie harmonijne od dysharmonijnego.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ta powinna uwidocznić się w przygotowywanej  prezentacji, stanowiącej przykład analizy otoczenia z zastosowaniem kategorii estetycznych  a także podczas dyskusji w czasie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przekonanie o sensie, wartości i potrzebie podejmowania działań w celu zwiększenia piękna i ładu środowiska, w którym przebywa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 kompetencje społeczne powinny uwidocznić się w dyskusji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K_K03; K_K04: </w:t>
      </w:r>
    </w:p>
    <w:p>
      <w:pPr/>
      <w:r>
        <w:rPr/>
        <w:t xml:space="preserve">Ma przekonanie o wadze profesjonalnego decydowania o wyglądzie otoczenia oraz wizerunku miejsca a także o potrzebie wprowadzania i respektowania prawnych regulacji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ta powinna uwidocznić się w przygotowywanej  w niewielkim zespole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T1A_K03, T1A_K04</w:t>
      </w:r>
    </w:p>
    <w:p>
      <w:pPr>
        <w:keepNext w:val="1"/>
        <w:spacing w:after="10"/>
      </w:pPr>
      <w:r>
        <w:rPr>
          <w:b/>
          <w:bCs/>
        </w:rPr>
        <w:t xml:space="preserve">Efekt K_K09_UR: </w:t>
      </w:r>
    </w:p>
    <w:p>
      <w:pPr/>
      <w:r>
        <w:rPr/>
        <w:t xml:space="preserve">Interesuje się sztuką w przestrzeni publicznej, nowymi projektami artystycznymi i docenia jej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wyżej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2026-06-18T18:58:43+02:00</dcterms:created>
  <dcterms:modified xsi:type="dcterms:W3CDTF">2026-06-18T18:58:43+02:00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