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ćwiczeniach - 30 godzin
c) konsultacje - 5 godzin
2. Praca własna studenta – 70 godzin, w tym: 
a) przygotowanie do zajęć ćwiczeniowych - 15 godzin
b) dokończenie projektów - 30 godzin
c) przygotowanie do kolokwium - 25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- 75 godzin, w tym: 
a) obecność na ćwiczeniach - 30 godzin
b) przygotowanie do zajęć ćwiczeniowych - 15 godzin
c) dokończenie projektów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Rozwój gospodarczy gminy jako podstawa strategii rozwoju
9. Instrumenty wspierania rozwoju lokalnego
10. Analiza przykładowych strategii rozwoju gmin.
ZAJĘCIA PROJEKTOWE:
1. Dokumenty strategiczne ponadlokalne i ich znaczenie dla rozwoju gmin – analiza przykładowego dokumentu strategicznego, opracowanie wybranych zagadnień, dyskusja i opinia na temat znaczenia danego dokumentu dla gmin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pozytywnej oceny z kolokwium pisemnego (kolokwium odbywa się na ostatnim wykładzie). Ocenę łączną z przedmiotu ustala się licząc średnią arytmetyczną z kolokwium (waga 50%) i średnią arytmetyczną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
2. Krajowa Polityka Miejska (MIiR, 2015, strona www MIiR)
3. Krajowa Strategia Rozwoju Regionalnego 2010-2020: Regiony, Miasta, Obszary wiejskie (MIiR, strona www MIiR)
4. Kłosowski W., Warda J., 2001, Wyspy szans. Jak budować strategie rozwoju lokalnego? W&amp;K
5. Sztando A., 2010, Wzorzec procedury budowy strategii rozwoju jednostki samorządu lokalnego, w: Rozwój lokalny i regionalny. Znaczenie wsparcia udzielanego przez jednostki samorządu terytorialnego, Zeszyty Naukowe Nr 31/2010 Wyższej Szkoły Bankowej, Poznań
6. Jewtuchowicz Aleksandra, Rzeńca Agnieszka /red./, 2009, Współczesne wyzwania miast i regionów, Wydawnictwo Uniwersytetu Łódzkiego, Łódź
7. Strony internetowe gmin, UE, ministerstw, organizacji samorządu terytorialnego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GP.SIK523_W1: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GP.SIK523_W2: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GP.SIK523_W3: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GP.SIK523_U1: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GP.SIK523_U2: </w:t>
      </w:r>
    </w:p>
    <w:p>
      <w:pPr/>
      <w:r>
        <w:rPr/>
        <w:t xml:space="preserve">potrafi korzystać z różnych źródeł informacji dla analizy uwarunkowań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GP.SIK523_U3: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GP.SIK523_K1: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GP.SIK523_K2: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2026-10-01T08:19:08+02:00</dcterms:created>
  <dcterms:modified xsi:type="dcterms:W3CDTF">2026-10-01T08:19:08+02:00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