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- 30 godz.;
•	laboratorium - 15 godz.
•	konsultacje – 1 godz.
2) Praca własna studenta – 60 godz., w tym:  
•	studia literaturowe: 15 godz.
•	przygotowanie do zajęć: 15 godz.
•	realizacja prac domowych i wykonanie sprawozdań: 30 godz.
3) RAZEM – 106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•	laboratorium - 15 godz.;
•	przygotowanie do zajęć: 15 godz.
•	realizacja prac domowych i wykonanie sprawozdań: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powierzchniowych do dyskretyzacji.
2.	Konstrukcje prętowe, belkowe. Wykład obejmuje szczegółowe omówienie zagadnień związanych z modelowaniem konstrukcji prętowych modelowanych z wykorzystaniem elementów prętowych oraz belkowych. Analizy konstrukcji, w których elementy konstrukcyjne przenoszą zarówno obciążenia normalne, styczne, jak i momenty gnące. Analiza wpływu ścinania: teoria Bernouliego i Timoshenko. Szczegółowe omówienie zagadnień analiz postaci, sił krytycznych i częstości drgań własnych.
3.	Omówienie zagadnień analiz koncentracji naprężeń w modelach powłokowych.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wielo-liniowy model sprężysto – plastyczny.
5.	Modele powłokowe - analizy szczegółowe. Wykład obejmuje podstawowe zagadnienia dotyczące modelowania konstrukcji cienkościennych za pomocą elementów powłokowych.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Modele powłokowe - sposoby realizacji połączeń. Uproszczone i dokładne analizy połączeń (spawane, śrubowe, nitowe) w metalowych strukturach cienkościennych.
7.	Modelowanie zadań uwzględnieniem wzajemne oddziaływanie części (zadania kontaktowe), w zakresie modeli powłokowych oraz belkowych.
8.	Szczegółowe analizy struktur cienkościennych na przykładach konstrukcji kratownicowych i dźwigarów cienkościennych z wykorzystaniem pakietu Abaqus.
Laboratorium: 
1.	Integracja systemów CAD – MES. Modele geometryczne dla MES.
2.	Analiza kratownicy: modele prętowe, belkowe, siły krytyczne i częstości drgań własnych. 
3.	Koncentracje naprężeń - szczególne przypadki.
4.	Analizy zagadnień nieliniowych - wstęp.
5.	Analizy konstrukcji cienkościennych - cz. 1.
6.	Analizy konstrukcji cienkościennych - cz. 2.
7.	Analizy konstrukcji cienkościennych - cz. 3.
8.	Analizy konstrukcji cienkościennych - cz. 4.
9.	Analizy konstrukcji cienkościennych - cz. 5.
10.	Uproszczone sposoby modelowanie połączeń (spawane, śrubowe, nitowe, sworzniowe). 
11.	Zagadnienie kontaktowe - uwzględnienie nieliniowej charakterystyki materiału. 
12.	Analiza dźwigara cienkościennego.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oceny uzyskanej z laboratorium.
Laboratorium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1150-MB000-ISP-0324_W1: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1150-MB000-ISP-0324_W2: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1150-MB000-ISP-0324_W3: </w:t>
      </w:r>
    </w:p>
    <w:p>
      <w:pPr/>
      <w:r>
        <w:rPr/>
        <w:t xml:space="preserve">Student posiada wiedzę w zakresie przygotowania modeli powłokowych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1150-MB000-ISP-0324_W4: </w:t>
      </w:r>
    </w:p>
    <w:p>
      <w:pPr/>
      <w:r>
        <w:rPr/>
        <w:t xml:space="preserve">Student zna zasady określania i wyznaczania sił krytycznych i częstości drgań własnych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1150-MB000-ISP-0324_W5: </w:t>
      </w:r>
    </w:p>
    <w:p>
      <w:pPr/>
      <w:r>
        <w:rPr/>
        <w:t xml:space="preserve">Student zna zasady wprowadzania obciążeń oraz definiowania warunków brzegowych w modelach MES konstrukcji cienkościennych o złożonych geometrycznie kształtach, modelowanych przy użyciu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1150-MB000-ISP-0324_W9: </w:t>
      </w:r>
    </w:p>
    <w:p>
      <w:pPr/>
      <w:r>
        <w:rPr/>
        <w:t xml:space="preserve">Student potrafi dokonać oceny wytężenia konstrukcji złożonej konstrukcji cienkościennej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1150-MB000-ISP-0324_U1: </w:t>
      </w:r>
    </w:p>
    <w:p>
      <w:pPr/>
      <w:r>
        <w:rPr/>
        <w:t xml:space="preserve">Student potrafi przygotować model geometryczny do dyskretyzacji. Potrafi dokonać podział geometrii na odpowiednie powierzchnie. Rozumie znaczenie szczegółów (promienie, fazy, zmiany grubości) i potrafi je odpowiednio uwzględnić w modelu powłokowym.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1150-MB000-ISP-0324_U4: </w:t>
      </w:r>
    </w:p>
    <w:p>
      <w:pPr/>
      <w:r>
        <w:rPr/>
        <w:t xml:space="preserve">Student potrafi dobrać odpowiednie parametry oraz wykonać nieliniową statyczną analizę stanu wytężenia i deformacji struktury cienkościennej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1150-MB000-ISP-0324_U5: </w:t>
      </w:r>
    </w:p>
    <w:p>
      <w:pPr/>
      <w:r>
        <w:rPr/>
        <w:t xml:space="preserve">Student potrafi wykonać analizę wzajemnego oddziaływania części w strukturach cienkościennych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2026-05-07T11:47:42+02:00</dcterms:created>
  <dcterms:modified xsi:type="dcterms:W3CDTF">2026-05-07T11:47:42+02:00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