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komputerowe w konstrukcji nadwozi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1150-MBMPO-ISP-0321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tym:
a) wykład – 30 godz.;
b) laboratorium – 15 godz.;
c) konsultacje – 1 godz.;
d) egzamin – 2 godz.;
2) Praca własna studenta -  55 godzin, w tym:
a)	 10 godz. – bieżące przygotowywanie się studenta do wykładu;
b)	 10 godz. – studia literaturowe;
c)	 10 godz. – przygotowywanie się studenta do egzaminu;
d)	 15 godz. – przygotowywanie się studenta do ćwiczeń;
e)	 10 godz. – wykonanie prac domowych.
3) RAZEM – 103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– liczba godzin kontaktowych - 48, w tym:
a) wykład – 30 godz.;
b) laboratorium – 15 godz.;
c) konsultacje – 1 godz.;
d) 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2 punkty ECTS – 40 godz., w tym:
1) ćwiczenia laboratoryjne – 15 godz.;
2) 15 godz. – przygotowywanie się do ćwiczeń laboratoryjnych;
3) 10 godz. – wykonanie prac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grafiki inżynierskiej, podstaw konstrukcji maszyn i modelowania geometrycznego (wysłuchanie wykładów: Podstawy zapisu konstrukcji, PKM i Modelowanie geometryczne)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praktycznego wykorzystania systemów komputerowych w procesie projektowania i konstruowania nadwozi. Umiejętność doboru metodyki wykorzystania systemów komputerowych do realizacji postawionego zadania projektowego.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Omówienie i klasyfikacja zintegrowanych systemów projektowania w budowie nadwozi pojazdów. Określenie zasad budowy modeli geometrycznych. Bryłowe modele geometryczne w projektowaniu nadwozi. Metodyka budowy modeli powierzchniowych. Zasady projektowania powierzchni klasy A. Podstawy ergonomii z wykorzystaniem zintegrowanych systemów projektowania. Zastosowanie metod komputerowych dla opracowania koncepcji rodzin nadwozi pojazdów. Zasady projektowania węzłów konstrukcyjnych nadwozi. Metody symulacyjnych badania drgań i hałasu struktury nadwozia. Metody symulacyjnych badania aerodynamiki pojazdu. Metody modelowania zderzenia pojazdu z przeszkodą. Wyznaczenia obciążeń dynamicznych nadwozia pochodzących od drogi.
Laboratorium. Wyznaczanie mas i momentów bezwładności w systemach CAx. Badania symulacyjne trajektorii ruchu podzespołów pojazdów. Badania symulacyjne kinematyki mechanizmów nadwozi. Symulacyjne badania dynamiki pionowej pojazdów. Symulacyjne badania oporu aerodynamicznego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egzaminu.
Laboratorium:
Przed rozpoczęciem ćwiczenia przeprowadzany jest ustny/pisemny krótki sprawdzian wiedzy weryfikujący przygotowanie studentów  do ćwiczeń (tzw. „wejściówka”). Każde ćwiczenie jest zaliczane na podstawie poprawnie wykonanego zadania, przyjętego i ocenionego przez prowadzącego dane ćwiczenie.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Anderl R. Binde P.: Simulationen mit NX: Kinematik, FEM, CFD, EM und Datenmanagement. Mit zahlreichen Beispielen für NX 9. Carl Hanser Verlag GmbH &amp; Co. KG; 2014.
2.	Macey S., Wardle G.: H-Point: The Fundamentals of Car Design &amp; Packaging. Designstudio Pr ;2014.
3.	Kiciak P.: Podstawy modelowania krzywych i powierzchni. Warszawa: WNT 2005.
4.	Piechna J.: Podstawy aerodynamiki pojazdów. Warszawa: WKŁ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1150-MBMPO-ISP-0321_W1: </w:t>
      </w:r>
    </w:p>
    <w:p>
      <w:pPr/>
      <w:r>
        <w:rPr/>
        <w:t xml:space="preserve">Posiada wiedzę o kryteriach projektowania widzialnych powierzchni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1150-MBMPO-ISP-0321_W2: </w:t>
      </w:r>
    </w:p>
    <w:p>
      <w:pPr/>
      <w:r>
        <w:rPr/>
        <w:t xml:space="preserve">Ma uporządkowaną wiedzę dotyczącą modelowania geometrycznego powierzchni widzialnych nadwozi.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1150-MBMPO-ISP-0321_W3: </w:t>
      </w:r>
    </w:p>
    <w:p>
      <w:pPr/>
      <w:r>
        <w:rPr/>
        <w:t xml:space="preserve">Zna podstawowe metody powierzchniowego i bryłowego modelowania geometrycznego konstrukcji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1150-MBMPO-ISP-0321_W4: </w:t>
      </w:r>
    </w:p>
    <w:p>
      <w:pPr/>
      <w:r>
        <w:rPr/>
        <w:t xml:space="preserve">Posiada wiedzę o inżynierskich systemach komputerowych wykorzystywanych do rozmieszczenia w nadwoziu komponentów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1150-MBMPO-ISP-0321_W5: </w:t>
      </w:r>
    </w:p>
    <w:p>
      <w:pPr/>
      <w:r>
        <w:rPr/>
        <w:t xml:space="preserve">Posiada wiedzę o inżynierskich systemach komputerowych wykorzystywanych do oszacowania obciążeń nadwozi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1150-MBMPO-ISP-0321_U1: </w:t>
      </w:r>
    </w:p>
    <w:p>
      <w:pPr/>
      <w:r>
        <w:rPr/>
        <w:t xml:space="preserve">Potrafi sformułować stosowne kryteria projektowe dla danego etapu projektowania nadwozia.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1150-MBMPO-ISP-0321_U2: </w:t>
      </w:r>
    </w:p>
    <w:p>
      <w:pPr/>
      <w:r>
        <w:rPr/>
        <w:t xml:space="preserve">Potrafi wyznaczyć obciążenia projektowe dla węzłów konstrukcyjnych nadwozia.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1150-MBMPO-ISP-0321_U3: </w:t>
      </w:r>
    </w:p>
    <w:p>
      <w:pPr/>
      <w:r>
        <w:rPr/>
        <w:t xml:space="preserve">Potrafi dobrać parametry powierzchni widzialnych nadwozia, spełniające oczekiwania względem jakości powierzchni.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1150-MBMPO-ISP-0321_K1: </w:t>
      </w:r>
    </w:p>
    <w:p>
      <w:pPr/>
      <w:r>
        <w:rPr/>
        <w:t xml:space="preserve">Potrafi współdziałać i pracować w grupie przy realizacji ćwiczeń laboratoryjnych,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2025-05-03T07:54:47+02:00</dcterms:created>
  <dcterms:modified xsi:type="dcterms:W3CDTF">2025-05-03T07:54:47+02:00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