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
b) laboratorium- 15 godz. ;
c) konsultacje - 5 godz.;
2. Praca własna studenta – 25 godzin, w tym:
a)	 15 godz. – bieżące przygotowywanie się studenta do ćwiczeń laboratoryjnych, studia literaturowe,
b)	 10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2 punktu ECTS - liczba godzin kontaktowych- 35.,  w tym: 
a) wykład -15 godz. ;
b) laboratorium- 15 godz. ;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15 godz.
2) 15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1150-MB000-ISP-0223_W02: </w:t>
      </w:r>
    </w:p>
    <w:p>
      <w:pPr/>
      <w:r>
        <w:rPr/>
        <w:t xml:space="preserve">Posiada wiedzę nt. posługiwania się środowiskiem programowania obiektowego.</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2025-12-25T21:47:24+01:00</dcterms:created>
  <dcterms:modified xsi:type="dcterms:W3CDTF">2025-12-25T21:47:24+01:00</dcterms:modified>
</cp:coreProperties>
</file>

<file path=docProps/custom.xml><?xml version="1.0" encoding="utf-8"?>
<Properties xmlns="http://schemas.openxmlformats.org/officeDocument/2006/custom-properties" xmlns:vt="http://schemas.openxmlformats.org/officeDocument/2006/docPropsVTypes"/>
</file>