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
b) laboratorium- 15 godz. ;
c) konsultacje - 5 godz.;
2. Praca własna studenta – 25 godzin, w tym:
a)	 15 godz. – bieżące przygotowywanie się studenta do ćwiczeń laboratoryjnych, studia literaturowe,
b)	 10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2 punktu ECTS - liczba godzin kontaktowych- 35.,  w tym: 
a) wykład -15 godz. ;
b) laboratorium- 15 godz. ;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15 godz.
2) 15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1150-MB000-ISP-0223_W02: </w:t>
      </w:r>
    </w:p>
    <w:p>
      <w:pPr/>
      <w:r>
        <w:rPr/>
        <w:t xml:space="preserve">Posiada wiedzę nt. posługiwania się środowiskiem programowania obiektowego.</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2026-10-01T14:04:21+02:00</dcterms:created>
  <dcterms:modified xsi:type="dcterms:W3CDTF">2026-10-01T14:04:21+02:00</dcterms:modified>
</cp:coreProperties>
</file>

<file path=docProps/custom.xml><?xml version="1.0" encoding="utf-8"?>
<Properties xmlns="http://schemas.openxmlformats.org/officeDocument/2006/custom-properties" xmlns:vt="http://schemas.openxmlformats.org/officeDocument/2006/docPropsVTypes"/>
</file>