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1150-MB000-ISP-0317</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godz., w tym:
a) wykład – 30 godz.;
b) laboratorium – 30 godz.
c) konsultacje – 2 godz.;
d) egzamin – 2 godz.;
2) Praca własna studenta – 40 godzin, w tym:
a) 5 godz. – bieżące przygotowanie studenta do wykładu,
b) 15 godz. – bieżące przygotowanie studenta do laboratorium,
c) 10 godz. – studia literaturowe,
d) 10 godz. – przygotowanie do egzaminu.
3) RAZEM – 104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punktów ECTS – liczba godzin kontaktowych – 64 godz., w tym:
a) wykład – 30 godz.;
b) laboratorium – 30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30 godz. – ćwiczenia laboratoryjne,
b) 15 godz. – bieżące przygotowanie studenta do laboratorium.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1150-MB000-ISP-0317_W2: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T1A_U08, InzA_U01</w:t>
      </w:r>
    </w:p>
    <w:p>
      <w:pPr>
        <w:keepNext w:val="1"/>
        <w:spacing w:after="10"/>
      </w:pPr>
      <w:r>
        <w:rPr>
          <w:b/>
          <w:bCs/>
        </w:rPr>
        <w:t xml:space="preserve">Efekt 1150-MB000-ISP-0317_U2: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2026-10-02T21:33:59+02:00</dcterms:created>
  <dcterms:modified xsi:type="dcterms:W3CDTF">2026-10-02T21:33:59+02:00</dcterms:modified>
</cp:coreProperties>
</file>

<file path=docProps/custom.xml><?xml version="1.0" encoding="utf-8"?>
<Properties xmlns="http://schemas.openxmlformats.org/officeDocument/2006/custom-properties" xmlns:vt="http://schemas.openxmlformats.org/officeDocument/2006/docPropsVTypes"/>
</file>