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1060-GI000-ISP-2004</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GI.ISP-2004_W01: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GI.ISP-2004_U01: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T1P_U01, T1P_U13, T1P_U01, T1P_U06</w:t>
      </w:r>
    </w:p>
    <w:p>
      <w:pPr>
        <w:pStyle w:val="Heading3"/>
      </w:pPr>
      <w:bookmarkStart w:id="4" w:name="_Toc4"/>
      <w:r>
        <w:t>Profil praktyczny - kompetencje społeczne</w:t>
      </w:r>
      <w:bookmarkEnd w:id="4"/>
    </w:p>
    <w:p>
      <w:pPr>
        <w:keepNext w:val="1"/>
        <w:spacing w:after="10"/>
      </w:pPr>
      <w:r>
        <w:rPr>
          <w:b/>
          <w:bCs/>
        </w:rPr>
        <w:t xml:space="preserve">Efekt GI.ISP-2004_K01: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T1P_K01, T1P_K05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2025-05-12T02:28:27+02:00</dcterms:created>
  <dcterms:modified xsi:type="dcterms:W3CDTF">2025-05-12T02:28:27+02:00</dcterms:modified>
</cp:coreProperties>
</file>

<file path=docProps/custom.xml><?xml version="1.0" encoding="utf-8"?>
<Properties xmlns="http://schemas.openxmlformats.org/officeDocument/2006/custom-properties" xmlns:vt="http://schemas.openxmlformats.org/officeDocument/2006/docPropsVTypes"/>
</file>