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godz., w tym: a) uczestnictwo w wykładach (15 godz.), b) uczestnictwo w ćwiczeniach (30 godz.), c) udział w konsultacjach (2 godz.). 2) Praca własna studenta - 60 godz. w tym: a) przygotowanie do ćwiczeń (15 godz.), b) samodzielna praca projektowa (30 godz.), c) przygotowanie do egzaminu (15 godz.). RAZEM: 107 godz.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ECTS - liczba godzin kontaktowych - 47 godz., w tym: a) uczestnictwo w wykładach (15 godz.), b) uczestnictwo w ćwiczeniach (30 godz.), c) udział w konsultacjach (2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- 60 godz., w tym: a) uczestnictwo w ćwiczeniach (30 godz.), b) samodzielna praca projektowa (30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komputerowej, umiejętność programowania strukturalnego, znajomość podstawowych algorytmów i struktur danych wykorzystywanych w programowaniu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obiektowym, wzorcami projektowymi oraz metodami tworzenia interfejsów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
1. Dziedziczenie: klasy bazowe i pochodne. Możliwości identyfikacji klasy obiektu w czasie kompilacji i wykonania programu. Drzewo dziedziczenia i konwersje typów. 
2. Dziedziczenie: metody wirtualne, metody czysto wirtualne i klasy abstrakcyjne. Znaczenie destruktorów wirtualnych. 
3. Dziedziczenie, agregacja, kompozycja. Zasady stosowania poszczególnych rozwiązań. 
4. Wykorzystanie dziedziczenia, obiektów abstrakcyjnych w programowaniu elementów graficznych. 
5. Wzorce projektowe: podstawy. Wzorce czynnościowe: iterator, obserwator, odwiedzający, metoda szablonowa. 
6. Strukturalne wzorce projektowe: fasada, dekorator, adapter. 
7. Konstrukcyjne wzorce projektowe: singleton, metoda wytwórcza, fabryka abstrakcyjna. 
8. Zasady wykorzystania wzorców projektowych; adaptacja do konkretnych potrzeb. 
9. Podstawy graficznych interfejsów użytkownika: zdarzenia i ich obsługa. 
10. Typowe elementy graficznego interfejsu użytkownika i ich parametry. 
11. Separacja warstwy prezentacji oraz obsługi zdarzeń. Polecenia. 
12. Podstawy wzorca model-widok-kontroler. Przykłady realizacji wzorca MVC. 
13. Wykorzystanie wzorca MVC do tworzenia aplikacji. 
14. Automatyzacja procesu tworzenia oprogramowania: generatory kodu. Narzędzia wspomagające pracę programisty: system kontroli wersji, system ciągłej integracji. 
15. Podstawowe informacje dotyczące innych, powszechnie używanych języków programowania i środowisk programowania. 
Ćwiczenia: 
1. Prosta rodzina klas z wykorzystaniem dziedziczenia. 
2. Wykorzystanie czynnościowych wzorców projektowych w prostym programie z graficzną prezentacją wyników działania. 
3. Program wykorzystujący konstrukcyjne wzorce projektowe i hierarchię klas. 
4. Prosty program z graficznym interfejsem użytkownika. 
5. Program wykorzystujący strukturę model-widok-kontroler do obsługi dokumentów o różnej strukturze.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0-10, 40 punktów za egzamin przeprowadzony w formie komputerowej oraz 10 punktów za realizację dodatkowych zadań domowych. Do zaliczenia przedmiotu trzeba uzyskać minimum 50% punktów z egzaminu (ocena z wykładu) oraz zadań programistycznych (ocena z ćwiczeń). Punkty są przeliczane na oceny wg następujących zakresów: 0-50 punktów – ocena 2, 51-60 punktów – ocena 3.0, 61-70 punktów – ocena 3.5, 71-80 punktów  - ocena 4.0, 81-90 punktów – ocena 4.5, 91-100 punktów –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Bjarne Stroustrup, Programowanie. Teoria i praktyka z wykorzystaniem C++, Helion, 2013.
2) Robert Nowak, Andrzej Pająk, Język C++ mechanizmy, wzorce, biblioteki, btc, 2013.
3) Erich Gamma, Richard Helm, Ralph Johnson, John M. Vlissides, Wzorce projektowe. Elementy oprogramowania obiektowego wielokrotnego użytku, Helion,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1060-GI000-ISP-2008_W01: </w:t>
      </w:r>
    </w:p>
    <w:p>
      <w:pPr/>
      <w:r>
        <w:rPr/>
        <w:t xml:space="preserve">Zna zasady i mechanizmy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1060-GI000-ISP-2008_W02: </w:t>
      </w:r>
    </w:p>
    <w:p>
      <w:pPr/>
      <w:r>
        <w:rPr/>
        <w:t xml:space="preserve">Zna podstawowe wzorce projektowe i zasady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1060-GI000-ISP-2008_W03: </w:t>
      </w:r>
    </w:p>
    <w:p>
      <w:pPr/>
      <w:r>
        <w:rPr/>
        <w:t xml:space="preserve">Zna metody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1060-GI000-ISP-2008_W04: </w:t>
      </w:r>
    </w:p>
    <w:p>
      <w:pPr/>
      <w:r>
        <w:rPr/>
        <w:t xml:space="preserve">Ma podstawową wiedzę w zakresie automatyzacji procesu tworzenia i testowania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1060-GI000-ISP-2008_U01: </w:t>
      </w:r>
    </w:p>
    <w:p>
      <w:pPr/>
      <w:r>
        <w:rPr/>
        <w:t xml:space="preserve">Potrafi zaprojektować i napisać program w sposób obiektowy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1060-GI000-ISP-2008_U02: </w:t>
      </w:r>
    </w:p>
    <w:p>
      <w:pPr/>
      <w:r>
        <w:rPr/>
        <w:t xml:space="preserve">Potrafi zastosować wzorce projektowe we własnym programie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1060-GI000-ISP-2008_U03: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T1P_U11, T1P_U14, T1P_U17,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1060-GI000-ISP-2008_U04: </w:t>
      </w:r>
    </w:p>
    <w:p>
      <w:pPr/>
      <w:r>
        <w:rPr/>
        <w:t xml:space="preserve">Potrafi zaprojektować i napisać program z prostym graficznym interfejsem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T1P_U11, T1P_U14, T1P_U17,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1060-GI000-ISP-2008_K01: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2026-07-28T11:11:55+02:00</dcterms:created>
  <dcterms:modified xsi:type="dcterms:W3CDTF">2026-07-28T11:11:55+02:00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