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PW; dr hab inż. Waldemar Kaszuwara,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MAT_INT_U1: </w:t>
      </w:r>
    </w:p>
    <w:p>
      <w:pPr/>
      <w:r>
        <w:rPr/>
        <w:t xml:space="preserve">Student umie na podstawie wiedzy nabytej podczas wykłsdu, analizy zalecanej literatury lub innych fachowych źródeł rozszerzyć - poprzez pracę własną  - posiadane dotychczas umiejętności i wiedzę z zakresu materiałów inteligentnych,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MAT_INT_K1: </w:t>
      </w:r>
    </w:p>
    <w:p>
      <w:pPr/>
      <w:r>
        <w:rPr/>
        <w:t xml:space="preserve">Potrafi współdziałać w grupie, nawiązuje kontakty, wymieniać poglądy nt.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2025-12-26T01:34:11+01:00</dcterms:created>
  <dcterms:modified xsi:type="dcterms:W3CDTF">2025-12-26T01:34:11+01:00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