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sieci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elementy techniki pomiarowej
Komputerowe metody symulacji sieci
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trendów rozwojowych w dziedzinie pomiarów i sieci inteligentnych obejmujących sieci płynowe: ciepłownicze, gazowe oraz sieci transportu CO2. Przedstawiona zostanie definicja inteligentnych systemów pomiarowych oraz sieci inteligentnych i omówiona zostanie ich funkcjonalność. Omówione zostaną elementy siec inteligentnej oraz infrastruktura pomiarowa i komunikacyjna.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funkcjonalności inteligentnych sieci płynowych jako elementów  inteligentnego systemu energetycznego. Systemy zdalnego odczytu. Urządzenia do transmisji danych. Inteligentne układy pomiarowo-rozliczeniowe,  Efektywność energetyczna i bezpieczeństwo/niezawodność systemów płynowych. Integracja rozproszonych źródeł energii. Magazynowanie energii ze źródeł odnawialnych w systemach ciepłowniczych i gazowniczych. Mechanizmy zarządzania popytem. Konwergencja systemów: ciepłowniczego, elektroenergetycznego i gazowego. Regulacje prawne dotyczące sieci inteligentnych i inteligentnego opomiarowania.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W. Gellings: The Smart Grid: Enabling Energy Efficiency and Demand Response, The Fairmont Press, Inc., Lilburn 2009
J. W. Tester, E. M. Drake, M. J. Driscoll, M. W. Golay, W. A. Peters: Sustainable Energy: Choosing Among Options, second edition, The MIT Press, Cambridge 2012
F Sioshansi (Red.) Smart Grid, Integrating Renewable, Distributed &amp; Efficient Energy, Academic Press, Cambridge 2011
M. Cherka, F. M. Elżanowski, M. Swora, K. A. Wąsowski: Energetyka i ochrona środowiska w procesie inwestycyjnym, Wolters Kluwer Polska,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aktualne kierunki rozwoju i modernizacji systemów ciepłowniczych i systemów gazowniczych. Zna tendencje i trendy rozwojowe w dziedzinie inteligentnych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U02: </w:t>
      </w:r>
    </w:p>
    <w:p>
      <w:pPr/>
      <w:r>
        <w:rPr/>
        <w:t xml:space="preserve">Potrafi przeprowadzić analizę i ocenę infrastruktury pomiarwej, systemów transmisji danych oraz potrafi z wykorzystaniem programów wspomagających modelować układy sieci ciepłowniczych i sieci gazowych oraz optymalizować koszty prowadzenia ruchu ww.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2026-02-08T04:53:57+01:00</dcterms:created>
  <dcterms:modified xsi:type="dcterms:W3CDTF">2026-02-08T04:53:57+01:00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