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30;
Zapoznanie się ze wskazaną literaturą 10h;
Przygotowanie do zaliczenia 15h;
Przygotowanie do egzaminu 10h;
Wykonanie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budowli,Teoria sprężystości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W2. Obudowa stalowych budynków przemysłowych. 
W3. Kratowe dźwigary płaskie i przestrzenne.
W4. Stężenia w halach przemysłowych – konstrukcja i obliczenia. 
W5. Przekrycia dużych rozpiętości – rozwiązania konstrukcyjne, podstawy obliczeń. 
W6. Tory jezdne suwnic natorowych i podwieszonych, estakady suwnicowe. 
W7. Maszty i wieże – rozwiązania konstrukcyjne, obciążenia i obliczenia. 
W8. Budynki wysokie - kształtowanie, rozwiązania materiałowo–konstrukcyjne, podstawy obliczeń.
W9. Zbiorniki – rodzaje, obciążenia, rozwiązania konstrukcyjne, wyposażenie, zasady obliczeń. 
W10. Konstrukcje zespolone stalowo – betonowe. 
W11. Podstawy wymiarowania stalowych przekrojów cienkościennych. 
W12. Zagadnienia trwałości budowlanych konstrukcji stalowych. 
W13. Wykonawstwo i odbiór konstrukcji stalowych.
P1. Projekt hali przemysłowej o konstrukcji słupowo-ryglowej lub ramowej bez transportu dźwignicowego. Szczegółowe omówienie założeń projektowych. 
P2. Omówienie rozwiązań konstrukcyjnych przekryć płatwiowych i bezpłatwiowych.
P3. Konstruowanie i wymiarowanie płatwi dachowych.
P4. Konstruowanie i wymiarowanie dźwigarów dachowych.
P5. Obliczenia stężeń dachowych i ściennych.
P6. Konstruowanie i wymiarowanie słupów hali przemysłowej.
P7. Wzajemne połączenia elementów konstrukcyjnych.
P8. Opis techniczny, omówienie wybranych rysunków zestawieniowych i konstrukcyjnych, zestawienia stali.
</w:t>
      </w:r>
    </w:p>
    <w:p>
      <w:pPr>
        <w:keepNext w:val="1"/>
        <w:spacing w:after="10"/>
      </w:pPr>
      <w:r>
        <w:rPr>
          <w:b/>
          <w:bCs/>
        </w:rPr>
        <w:t xml:space="preserve">Metody oceny: </w:t>
      </w:r>
    </w:p>
    <w:p>
      <w:pPr>
        <w:spacing w:before="20" w:after="190"/>
      </w:pPr>
      <w:r>
        <w:rPr/>
        <w:t xml:space="preserve">1.	Obecność studentów na wykładach jest zalecana.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6.	Ocena końcowa (łączna) z przedmiotu jest średnią arytmetyczną pozytywnych ocen z wykładu i projektu. Jeżeli któraś z ocen wchodzących do średniej arytmetycznej będzie negatywna to ocena końcowa (łączna) również będzie negatywna.
7.	Do zaliczenia wykładów obowiązuje napisanie egzaminu na ocenę pozytywną. Istnieje możliwość poprawy egzaminu w uzgodnionym terminie.
8.	Student ma prawo przystąpić do egzaminu w trzech wybranych terminach spośród wyznaczonych w sesjach egzaminacyjnych lub poza okresem sesji egzaminacyjnych.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11.	Podczas weryfikacji osiągnięcia efektów uczenia się z wykładów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Wykonanie ćwiczenia projektowego i zaliczenie przedmiotu.(W1-W13)(P1-P8)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przedmiotu.(W1-W13)(P1-P8)</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2026-10-01T16:45:09+02:00</dcterms:created>
  <dcterms:modified xsi:type="dcterms:W3CDTF">2026-10-01T16:45:09+02:00</dcterms:modified>
</cp:coreProperties>
</file>

<file path=docProps/custom.xml><?xml version="1.0" encoding="utf-8"?>
<Properties xmlns="http://schemas.openxmlformats.org/officeDocument/2006/custom-properties" xmlns:vt="http://schemas.openxmlformats.org/officeDocument/2006/docPropsVTypes"/>
</file>