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PRINW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 8 godz.,  przejrzenie materiałów z wykładu i dodatkowej literatury, 15 godz., udział w ćwiczeniach - 8 godz., rozwiązanie miniproblemów sformułowanych na wykładzie 8 godz., udział w konsultacjach związanych z realizacją projektu, realizacja zadań projektowych oraz przygotowanie do kolokwium  oraz obecność na kolokwium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Wykłady 8 godz., ćwiczenia 8 godz., konsultacje 4 godz. Razem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przejrzenie materiałów z wykładu i dodatkowej literatury, 15 godz., rozwiązanie miniproblemów sformułowanych na wykładzie 8 godz., udział w konsultacjach związanych z realizacją projektu, realizacja zadań projektowych oraz przygotowanie do kolokwium  oraz obecność na kolokwium 11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 
Podstawowe warunki kontraktowe - charakter wynagrodzenia, termin, środki zabezpieczenia na rzecz inwestora (zabezpieczenie należytego wykonania robót, kary umowne, rękojmia, gwarancja, gwarancja zapłaty, odsetki umowne lub ustawowe) 
Systemy realizacji inwestycji drogowych - tradycyjny (generalnego wykonawcy), "zaprojektuj i wybuduj" i inne &lt;li&gt;Tryby wyboru wykonawcy inwestycji na podst. ustawy Prawo zamówień publicznych.
Ćwiczenia: 
Odczytywanie i praktyczne stosowanie ustaleń miejscowych planów zagospodarowania przestrzennego w planowaniu i projektowaniu inwestycji &lt;li&gt;Analizy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&lt;br&gt;Kolokwium składa się z odpowiedzi na 10 pytań testowych w czasie 60 minut. Każdą odpowiedź ocenia się od 0 do 1 pkt.; maksymalny wynik – 10 pkt. Zaliczenie kolokwium: &gt;= 5,0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 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PRINWW1: </w:t>
      </w:r>
    </w:p>
    <w:p>
      <w:pPr/>
      <w:r>
        <w:rPr/>
        <w:t xml:space="preserve">[PL] Ma wiedzę dotyczącą prawnych, organizacyjnych i ekonomicznych aspektów zarządzania inwestycjami w budownictwie komunikacyjnym. Zna zasady organizacji, przygotowania i finansowania inwestycji w budownictwie komunikacyjnym Zna zasady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PRINWU1: </w:t>
      </w:r>
    </w:p>
    <w:p>
      <w:pPr/>
      <w:r>
        <w:rPr/>
        <w:t xml:space="preserve">[PL] Potrafi obliczyć nakłady inwestycyjne i koszty utrzymania obiektu w budownictwie komunikacyjnym. Umie wyznaczyć koszty użytkowników inwestycji. Potrafi przeprowadzić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PRINWK1: </w:t>
      </w:r>
    </w:p>
    <w:p>
      <w:pPr/>
      <w:r>
        <w:rPr/>
        <w:t xml:space="preserve">Potrafi pracować samodzielnie, współpracować w
zespole i kierować zespołem. Ma świadomość
potrzeby ciągłego podnoszenia własnych
umiejętności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2025-12-26T13:35:05+01:00</dcterms:created>
  <dcterms:modified xsi:type="dcterms:W3CDTF">2025-12-26T13:35:05+01:00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