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Barszcz,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101 godz. = 4 ECTS: wykłady 16 godz., ćwiczenia projektowe 16 godz., praca indywidualna przy wykonywaniu projektu 40 godz., konsultacje i obrona projektu 4 godz., studiowanie materiałów wykładowych, przygotowanie do zaliczenia wykładów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36 godz. = 1,5 ECTS: wykłady 16 godz., ćwiczenia projektowe 16 godz., konsultacje i obrona projektu 4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projektowe 16 godz., praca indywidualna przy wykonywaniu projektu 40 godz., konsultacje i obrona projektu 4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stopnia, a także umiejętność projektowania szkieletowych konstrukcji budynków stalowych o węzłach sztywnych/przegubowych.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nabyć podstawową wiedzę i umiejętności w zakresie: &lt;br&gt;- zasad modelowania charakterystyki węzła podatnego w połączeniach rygla ze słupem w szkieletowych konstrukcjach z kształtowników dwuteowych walcowanych i spawanych, &lt;br&gt;
- zasad obliczania podstawowych cech strukturalnych spawanego węzła podatnego i węzła z elementami łączonymi na śruby,&lt;br&gt; 
- zasad uwzględnienia charakterystyki węzła w analizie statycznej i analizie stateczności ram stalowych,&lt;br&gt;
- zasad kształtowania i projektowania budynków stalowych o szkielecie konstrukcyjnym niepełnociągłym.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&lt;ol&gt;&lt;li&gt;Obliczanie metodą składnikową sztywności i nośności węzłów stalowych konstrukcji ramowych złożonych z prętów o przekroju dwuteowym.
&lt;li&gt;Zalecenia dodatkowe dotyczące węzłów na śruby w połączeniach rygli ze słupami wymagających większej liczby rzędów śrub niż dwa. 
&lt;li&gt;Uwzględnienie krzywoliniowej charakterystyki węzła w analizie statycznej układu konstrukcyjnego. 
&lt;li&gt;Dopuszczalne uproszczenia charakterystyki węzła w analizie statycznej sprężystej i plastycznej ram stalowych – wymagania dotyczące materiału, kryteria dotyczące węzłów i klasy przekroju prętów. 
&lt;li&gt;Analiza stateczności sprężystej ram o węzłach podatnych.
&lt;li&gt;Niestateczność giętno-skrętna i ocena warunków brzegowych w analizie zwichrzenia elementów szkieletowej konstrukcji stalowej. 
&lt;li&gt;Zasady wymiarowania prętów stalowej konstrukcji ramowej o węzłach podatnych oraz weryfikacji właściwości strukturalnych węzłów w stanie granicznym nośności sprężystej i plastycznej. 
&lt;li&gt;Zasady przyjmowania charakterystyki węzła przy obliczaniu przemieszczeń i weryfikacja konstrukcji z uwagi na stan graniczny użytkowalności. 
&lt;li&gt;Uwzględnienie analizy zaawansowanej w projektowaniu stalowych konstrukcji ramowych: a) uwzględnienie imperfekcji, b) projektowanie sprężyste, c) projektowanie plastyczne. 
&lt;li&gt;Wymagania dodatkowe w zakresie wykonania i montażu konstrukcji z węzłami podatnymi.
&lt;li&gt;Projekt budynku szkieletowego o konstrukcji stalowej z węzłami podatnymi.
&lt;/ol&gt;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pisemnych sprawdzianów. &lt;br&gt;
Ocena wykonania projektu konstrukcji stalowej budynku i obrona projektu. &lt;br&gt;
Ocena łączna z przedmiotu jest średnią ocen uzyskanych z ćwiczeń projektowych i 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PAŁKOWSKI SZ.: Konstrukcje stalowe. Wybrane zagadnienia obliczania i projektowania, rozdział 5., PWN Warszawa;&lt;br&gt;
[2] BUDOWNICTWO OGÓLNE: tom V, Stalowe konstrukcje budynków, Projektowanie według Eurokodów z	przykładami obliczeń, Redakcja: Marian Giżejowski i Jerzy Ziółko, Arkady;&lt;br&gt; 
[3] ŁUBIŃSKI M., FILIPOWICZ A., ŻÓŁTOWSKI W.: Konstrukcje metalowe: Część I, rozdział 8, Arkady, Warszawa 2000;&lt;br&gt;
[4] ŁUBIŃSKI M., ŻÓŁTOWSKI W.: Konstrukcje metalowe: Część II, Arkady, Warszawa 2004;&lt;br&gt;
[5] BRÓDKA J., KOZŁOWSKI A.: Stalowe budynki szkieletowe. Oficyna Wydawnicza Politechniki Rzeszowskiej, Rzeszów 2003;&lt;br&gt; 
[6] BRÓDKA J., CWALINA W.: Sztywność i nośność ram stężonych o węzłach podatnych. Wydawnictwa Politechniki Białostockiej, Białystok 1998;&lt;br&gt; 
[7] BRÓDKA J., BARSZCZ A., GIŻEJOWSKI M., KOZŁOWSKI A.: Sztywność i nośność ram przechyłowych o węzłach podatnych. Oficyna Wydawnicza Politechniki Rzeszowskiej, Rzeszów 2004;&lt;br&gt;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KONMETW1: </w:t>
      </w:r>
    </w:p>
    <w:p>
      <w:pPr/>
      <w:r>
        <w:rPr/>
        <w:t xml:space="preserve">Zna zasady projektowania budynków stalowych o węzłach podatnych.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KONMETW2: </w:t>
      </w:r>
    </w:p>
    <w:p>
      <w:pPr/>
      <w:r>
        <w:rPr/>
        <w:t xml:space="preserve">Ma poszerzoną wiedzę dotyczącą projektowania, wykonawstwa i eksploatacji wielokondygnacyjnych budynków o konstrukcji stalowej z węzłami sztywnymi, przegubowymi i podatnymi.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KONMETU1: </w:t>
      </w:r>
    </w:p>
    <w:p>
      <w:pPr/>
      <w:r>
        <w:rPr/>
        <w:t xml:space="preserve">Potrafi zdefiniować model numeryczny i zaprojektować szkielet budynku wielokondygnacyjnego  z uwzględnieniem podatności węzłów.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T2A_U08, T2A_U09,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KONMETK1: </w:t>
      </w:r>
    </w:p>
    <w:p>
      <w:pPr/>
      <w:r>
        <w:rPr/>
        <w:t xml:space="preserve">Rozumie znaczenie odpowiedzialności za efekty swojej pracy. Rzetelnie przedstawia i interpretuje wyniki wykonanej pracy projektowej.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KONMETK2: </w:t>
      </w:r>
    </w:p>
    <w:p>
      <w:pPr/>
      <w:r>
        <w:rPr/>
        <w:t xml:space="preserve">Ma świadomość konieczności podnoszenia kompetencji zawodowych.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2025-05-06T16:07:38+02:00</dcterms:created>
  <dcterms:modified xsi:type="dcterms:W3CDTF">2025-05-06T16:07:38+02:00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