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LIINFR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24 godz., studia przypadków, przygotowanie do zajęć i kolokwium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OPIS:  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LINISTW1: </w:t>
      </w:r>
    </w:p>
    <w:p>
      <w:pPr/>
      <w:r>
        <w:rPr/>
        <w:t xml:space="preserve">Ma wiedzę na temat różnych zagadnień związanych z inwestycjami liniowymi.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LINISTU1: </w:t>
      </w:r>
    </w:p>
    <w:p>
      <w:pPr/>
      <w:r>
        <w:rPr/>
        <w:t xml:space="preserve">Potrafi ocenić wpływ wykonania poszczególnych faz procesu inwestycyjnego na podstawowe parametry inwestycji.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LINISTK1: </w:t>
      </w:r>
    </w:p>
    <w:p>
      <w:pPr/>
      <w:r>
        <w:rPr/>
        <w:t xml:space="preserve">Ma świadomość wieloaspektowości inwestycji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2025-05-05T15:00:06+02:00</dcterms:created>
  <dcterms:modified xsi:type="dcterms:W3CDTF">2025-05-05T15:00:06+02:00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