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LINIST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LINISTW1: </w:t>
      </w:r>
    </w:p>
    <w:p>
      <w:pPr/>
      <w:r>
        <w:rPr/>
        <w:t xml:space="preserve">Ma wiedzę na temat różnych zagadnień związanych z inwestycjami liniowymi.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K2_W23_IK,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T2A_W02, T2A_W04, T2A_W10, T2A_W08, T2A_W11,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LINISTU1: </w:t>
      </w:r>
    </w:p>
    <w:p>
      <w:pPr/>
      <w:r>
        <w:rPr/>
        <w:t xml:space="preserve">Potrafi ocenić wpływ wykonania poszczególnych faz procesu inwestycyjnego na podstawowe parametry inwestycji.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K2_U10,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T2A_U10, T2A_U13,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LINISTK1: </w:t>
      </w:r>
    </w:p>
    <w:p>
      <w:pPr/>
      <w:r>
        <w:rPr/>
        <w:t xml:space="preserve">Ma świadomość wieloaspektowości inwestycji liniowych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2026-09-30T16:54:19+02:00</dcterms:created>
  <dcterms:modified xsi:type="dcterms:W3CDTF">2026-09-30T16:54:19+02:00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