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ORSTER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ETCS: 12 godz. wykładów, 12 godz. ćwiczeń, 30 godz. pracy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ETCS: 12 godz. wykładów oraz 12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1ETCS: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
&lt;li&gt;Podstawowe terminy z zakresu, w tym organizacja, sterowanie, kierowanie, zarządzanie, monitorowanie, aktualizowanie oraz budowa (w sensie czynnościowym, przedmiotowym oraz podmiotowym). 
&lt;li&gt;Budowa w świetle regulacji „Prawo budowlane”. 
&lt;li&gt;Cel/ Cele działań związanych z pojęciem sterowania (w sensie ogólnym i technologicznym, budowlanym). 
&lt;li&gt;Cybernetyczny model sterowania/ kierowanie przebiegiem realizacji zbioru działań, ze szczególnym uwzględnieniem sprzężeń zwrotnych. 
&lt;li&gt;Zasady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&lt;li&gt;Rola kar umownych, zagrożeń losowych oraz formy org. realizacji zadania inwestycyjnego w procesie sterowania budową. 
&lt;li&gt;Zasady monitoringu stanu zaawansowania robót/ budowy, w ujęciu rzeczowym (w jedn. charakterystycznych oraz RMS i/ lub finansowym/ kosztowym (cost management), w funkcji czasu. 
&lt;li&gt;Określenie/ szacowanie prawdopodobieństwa terminowej realizacji budowy (sukcesu), lub prawdopodobieństwa jego nie dotrzymania – w warunkach nie podjęcia spec. działań. Ćwiczenia: Zasady aktualizacji harmonogramów ogólnych budowy i/ lub ich sieciowych modeli, bez moŜliwości renegocjacji ceny oraz w warunkach istnienia takiej moŜliwości.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KaŜdą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ORSTERW1: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ORSTERU1: </w:t>
      </w:r>
    </w:p>
    <w:p>
      <w:pPr/>
      <w:r>
        <w:rPr/>
        <w:t xml:space="preserve">Potrafi korzystać z podstawowych norm, rozporządzeń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K2_U08, K2_U10,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T2A_U01, T2A_U02, T2A_U05, T2A_U10, T2A_U13, T2A_U19,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ORSTERK1: </w:t>
      </w:r>
    </w:p>
    <w:p>
      <w:pPr/>
      <w:r>
        <w:rPr/>
        <w:t xml:space="preserve">Rozumie zalezności pomiędzy uczestnikami procesu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2026-10-01T01:52:26+02:00</dcterms:created>
  <dcterms:modified xsi:type="dcterms:W3CDTF">2026-10-01T01:52:26+02:00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