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budowli II (IPB)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Krzysztof Żmijewski, Dr hab. inż.,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FIBUDO2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23 godz. = 1 ECTS: wykłady 8 godz., wykonanie zadanej prezentacji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10 godz. = 0,5 ECTS: wykłady 8 godz., konsultacje i zaliczenie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15 godz. = 0,5 ECTS: wykonanie zadanej prezentacji.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przy założeniu, że studenci posiadają wiedzę z przedmiotu Budownictwo ogólne, Materiały budowlane, Kosztorysowanie, Fizyka Budowli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umiejętności oceny parametrów energetycznych budynków, poznaje sposoby i metody poprawy ich charakterystyki energetycznej oraz wykonywania audytu energetycznego, projektu termomodernizacji i świadectwa energetycznego. Poznaje treść podstawowych aktów prawnych dotyczących oszczędności energii w budownictwie i alternatywnych źródeł jej pozyskiwania. Nabyta wiedza jest podstawą do wykonania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 Zasady zrównoważonego rozwoju w budownictwie.&lt;br&gt; 
• Diagnozowanie energochłonności budynków istniejących - audyt energetyczny, - świadectwo energetyczne, - termowizja.&lt;br&gt; 
• Termomodernizacja budynków istniejących (stan prawny).&lt;br&gt; 
• Zasady projektowania ocieplenia przegród zewnętrznych w budynku istniejącym.&lt;br&gt; 
• Alternatywne źródła energii wykorzystywane w bilansie energetycznym budynku: pompa ciepła, kolektory słoneczne, kotły na paliwa odnawialne, biogaz, gaz wysypiskowy, wiatraki i małe elektrownie wodne.&lt;br&gt; 
• Izolacje transparentne i próżniowe.&lt;br&gt; 
• Rekuperacja ciepła w systemach wentylacji.&lt;br&gt; 
• Wpływ budynków na środowisko zewnętrzne i wewnętrzne.
• Odtwarzanie izolacji w budynkach istniejących - poprawa parametrów technicznych i użytkowych.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Pracą semestralną jest wykonanie prezentacji na zadany temat. Kolokwium. Końcową ocenę z przedmiotu otrzymują studenci na podstawie oceny z kolokwium i oceny z pracy semestralnej.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Skrypty, publikacje:&lt;br&gt; 
[1] „Budownictwo ogólne tom2” Praca zbiorowa – Arkady 2005;&lt;br&gt;
[2] „Ochrona cieplna i charakterystyka energetyczna budynku” 2005 L. Laskowski;&lt;br&gt; 
[3].”Izolacje cieplne. Mechanizmy wymiany ciepła, właściwości cieplne i ich pomiary” P. Furmański, T.S. Wiśniewski, J. Banaszek – ITC PW 2006;&lt;br&gt; 
[5] Dyrektywa Europejska EPD 2002/91/WE w sprawie charakterystyki energetycznej budynków Normy, ustawy;&lt;br&gt; 
[6] PN-EN ISO 6946:1999;&lt;br&gt; 
[7] PN-B-02025;&lt;br&gt; 
[8] PN-EN ISO 13788:2002;&lt;br&gt; 
[9] Rozporządzenie Ministra Infrastruktury z dnia 12.04 2002 w sprawie warunków technicznych…… (DzU z 2002 r. nr 75 poz.690 z późniejszymi zmianami);&lt;br&gt; 
[10] Ustawa 18.12.1998 r. o wspieraniu przedsięwzięć termomodernizacyjnych (DzU z 1998 r. nr 162 poz.1121 z późniejszymi zm);&lt;br&gt; 
Miesięczniki : „Materiały budowlane”, „Izolacje”, Energia i budynek”, „Doradca energetyczny”.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FIBUDO2W1: </w:t>
      </w:r>
    </w:p>
    <w:p>
      <w:pPr/>
      <w:r>
        <w:rPr/>
        <w:t xml:space="preserve">zna podstawowe zagadnienia z zakresu zrównoważonego rozwoju w budownictwie energooszczędnym.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wykłady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K2_W01, K2_W08, K2_W09, K2_W10, K2_W16_IPB, K2_W17_IPB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T2A_W08, T2A_W10, T2A_W01, T2A_W03, T2A_W05, T2A_W07, T2A_W08, T2A_W09, T2A_W02, T2A_W03,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FIBUDO2U1: </w:t>
      </w:r>
    </w:p>
    <w:p>
      <w:pPr/>
      <w:r>
        <w:rPr/>
        <w:t xml:space="preserve">potrafi wskazać właściwe usprawnienia termomodernizacyjne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wykłady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K2_U05, K2_U11_IPB, K2_U16_IPB, K2_U17_IPB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T2A_U02, T2A_U03, T2A_U11, T2A_U15, T2A_U16, T2A_U04, T2A_U09, T2A_U17, T2A_U19, T2A_U11, T2A_U19, T2A_U08, T2A_U09, T2A_U10,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FIBUDO2K1: </w:t>
      </w:r>
    </w:p>
    <w:p>
      <w:pPr/>
      <w:r>
        <w:rPr/>
        <w:t xml:space="preserve">Studiuje literaturę, prasę techniczną i informację na temat zagadnień związanych z przedmiotem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wykłady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2026-10-20T23:50:18+02:00</dcterms:created>
  <dcterms:modified xsi:type="dcterms:W3CDTF">2026-10-20T23:50:18+02:00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