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prof. PW, dr inż. Tomasz Piotrowski, mgr inż. Kamil Załęgowski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INZMAB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- 15h
zapoznanie z literaturą - 10h
przygotowanie i prezentacja pracy semestralnej - 5h
przygotowanie do egzaminu - 10h
Razem 55h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
ćwiczenia - 15h
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i prezentacja pracy semestralnej - 5h
Razem 20h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zdefiniowanie pojęć związanych z Inżynierią Materiałów Budowlanych - IMB, z uwzględnieniem roli i zadań IMB oraz cech wyróżniających IMB Główne treści przedmiotu obejmują: zdefiniowanie pojęć związanych z Inżynierią Materiałów Budowlanych - IMB, z uwzględnieniem roli i zadań IMB oraz cech wyróżniających IMB spośród innych inżynierii materiałowych. Sprzężenie człowiek - materiał - technologia - budowla - ekologia jako wyznacznik tematyki IMB. Model Materiałowy: skład - struktura - właściwości - zastosowanie. Zasada zrównoważonego rozwoju w odniesieniu do obiektów budowlanych. Podział kompozytów budowlanych. Sterowanie właściwościami kompozytów budowlanych. Funkcje użyteczności materiałowej w zastosowaniu do materiałów budowlanych. Metale i stopy metali w budownictwie. Metody projektowania eksperymentu i opracowywania wyników. Metody projektowania materiałów i optymalizacji materiałowej. Metody opisu struktury materiałów budowlanych; wykorzystanie mikroskopii elektronowej i analizy obrazu, stereologia i fraktografia. Wymagania podstawowe dla obiektów budowlanych w świetle dyrektyw europejskich. Trwałość i niezawodność rozwiązań materiałowych. Przyczyny uszkodzeń konstrukcji Budowlanych. Zasady diagnostyki konstrukcji z wykorzystaniem metod niszczących, mało- i nieniszczących. Zasady projektowania napraw, ochrony powierzchniowej i wzmacniania konstrukcji budowlanych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
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1995.
Literatura uzupełniająca: 
[1] Czarnecki L., Założenia systemu rozpoznawania kierunków rozwojowych inżynierii materiałów budowlanych, Prace Instytutu Techniki Budowlanej, 2 (2005);&lt;br&gt;
[2] Kurzydłowski K.J., Ralph B. „Quantitative description of material microstructure”; 
[3] Garbacz A. i in., Inżynieria powierzchni betonu, Materiały Budowlane, 9 (2006), 3-7; 12(2006), 8-11; 2(2007), 6,7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INZMABW1: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 ze szczegolnym uwzględniniem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INZMABW2: </w:t>
      </w:r>
    </w:p>
    <w:p>
      <w:pPr/>
      <w:r>
        <w:rPr/>
        <w:t xml:space="preserve">Potrafi dobrać metody analizy mikrostruktury podstawowych typów kompozytów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INZMABW3: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INZMABU1: </w:t>
      </w:r>
    </w:p>
    <w:p>
      <w:pPr/>
      <w:r>
        <w:rPr/>
        <w:t xml:space="preserve">Student 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INZMABK1: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2025-07-03T09:10:25+02:00</dcterms:created>
  <dcterms:modified xsi:type="dcterms:W3CDTF">2025-07-03T09:10:25+02:00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