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budownictwie komunikacyjnym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MATBUKO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laboratorium 15 godz.; przygotowanie do zajęć laboratoryjnych 15 godz.; zapoznanie z literaturą 10 godz.; przygotowanie do zaliczenia, udział w konsultacjach, obecność na zaliczeniu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=1.5 ECTS: wykład 15 godz., ćwiczenia laboratoryjne 15 godz., 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47 godz. = 2 ECTS: obecność w laboratorium 15 godz.; przygotowanie do laboratorium napisanie sprawozdania, weryfikacja 15 godz.; przygotowanie do zaliczenia, udział w konsultacjach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&lt;br&gt;Ćwiczenia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2003.&lt;br&gt;
[2] Piłat J., Radziszewski P., Nawierzchnie asfaltowe. WKiŁ, Warszawa 2007.&lt;br&gt;
[3] Gaweł, M. Kalabińska, J. Piłat,  Asfalty drogowe. WKiŁ, Warszawa 2001.&lt;br&gt;
[4]  Szajer R.,  Drogi żelazne. PWN, Warszawa 1970.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MATBUKOW1: </w:t>
      </w:r>
    </w:p>
    <w:p>
      <w:pPr/>
      <w:r>
        <w:rPr/>
        <w:t xml:space="preserve">							Ma wiedzę z zakresu kruszyw, materiałów wiążących oraz kompozytów stosowanych w budownictwie komunikacyjnym.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K2_W16_IK, K2_W21_IK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keepNext w:val="1"/>
        <w:spacing w:after="10"/>
      </w:pPr>
      <w:r>
        <w:rPr>
          <w:b/>
          <w:bCs/>
        </w:rPr>
        <w:t xml:space="preserve">Efekt MATBUKOW2: </w:t>
      </w:r>
    </w:p>
    <w:p>
      <w:pPr/>
      <w:r>
        <w:rPr/>
        <w:t xml:space="preserve">							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K2_W16_IK, K2_W17_IK, K2_W21_IK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T2A_W03, T2A_W04, T2A_W06, T2A_W09,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MATBUKOU1: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MATBUKOU2: </w:t>
      </w:r>
    </w:p>
    <w:p>
      <w:pPr/>
      <w:r>
        <w:rPr/>
        <w:t xml:space="preserve">Potrafi wdrożyć opracowaną technologię budowy dolnych warstw konstrukcyjnych nawierzchni budowli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T2A_U11, T2A_U13,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MATBUKOK1: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2025-07-08T20:08:05+02:00</dcterms:created>
  <dcterms:modified xsi:type="dcterms:W3CDTF">2025-07-08T20:08:05+02:00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