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MiBP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Trochymiak,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SEMMBP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seminaryjne 20h
Studiowanie materiałów potrzebnych do wykonania prezentacji wybranego tematu seminarium dyplomowego - 10h. 
Praca indywidualna  przy wykonywaniu prezentacji tematu seminarium - 20h 
Razem 50h - 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seminaryjne 20h
Razem 20h - 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seminaryjne 20h
Razem 20h - 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Dokument wydania tematu pracy dyplomowej podpisany przez studenta i promotora.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Wyrobienie u studentów umiejętności publicznego prezentowania wyników własnej pracy dyplomowej. Przygotowanie do obrony pracy dyplomowej na egzaminie.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prowadzącego dotyczące: zasad wykonywania i prowadzenia prac dyplomowych, przykłady prac dyplomowych, metod prezentacji prac dyplomowych.(2 godz.)
Indywidualne prezentacje celów i zakresu pracy dyplomowej, przyjętych metod badań i analiz oraz uzyskanych wyników. Dyskusja i podsumowanie przez prowadzącego. Czas trwania: prezentacja 20-25 min., dyskusja i podsumowanie 15-20 min.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Merytoryczne elementy prezentacji, zaplanowanie czasowe wystąpienia, przejrzystość formułowanie odpowiedzi na pytania, umiejętność przekonywania, swoboda w wystąpieniach publicznych.
Obecność na wszystkich seminariach jest obowiązkowa.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Indywidualny, dostosowany do tematu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SEMMBPW1: </w:t>
      </w:r>
    </w:p>
    <w:p>
      <w:pPr/>
      <w:r>
        <w:rPr/>
        <w:t xml:space="preserve">Ma pogłębioną wiedzę o planowaniu, projektowaniu i eksploatacji infrastruktury transportowej i systemów transportowych. Ma wiedzę dotyczącą programowania i finansowania inwestycji w budownictwie komunikacyjnym. Ma wiedzę o najistotniejszych nowych osiągnięciach i tendencjach rozwojowych w budownictwie komunikacyjnym. Ma wiedzę pozwalającą zrozumieć społeczne, ekonomiczne i środowiskowe uwarunkowania wynikające z planowania, projektowania, budowy i eksploatacji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K1_W07, K1_W08,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T1A_W07, T1A_W08, T1A_W02, T1A_W04, T1A_W05,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SEMMBPU1: </w:t>
      </w:r>
    </w:p>
    <w:p>
      <w:pPr/>
      <w:r>
        <w:rPr/>
        <w:t xml:space="preserve">Umiejętność przedstawienia i obrony tez pracy dyplomowej. Potrafi zaplanować i zaprojektować rozwiązania stosowane w zarządzaniu elementami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K1_U08, K1_U15,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T1A_U11, T1A_U14, T1A_U15, T1A_U03, T1A_U05, T1A_U09, T1A_U12,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SEMMBPK1: </w:t>
      </w:r>
    </w:p>
    <w:p>
      <w:pPr/>
      <w:r>
        <w:rPr/>
        <w:t xml:space="preserve">Ma świadomość pełnej odpowiedzialności za tworzone dzieło. Wyczuwa potrzebę przestrzegania zasad etyki zawodowej, typowej dla zawodu zaufania publicznego.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tez zawartych w prezentacji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2025-07-06T18:43:14+02:00</dcterms:created>
  <dcterms:modified xsi:type="dcterms:W3CDTF">2025-07-06T18:43:14+02:00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