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D. Walasek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SEMNARIPB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20h.
Studiowanie materiałów potrzebnych do wykonania prezentacji wybranego tematu seminarium dyplomowego - 10h. 
Praca indywidualna  przy wykonywaniu prezentacji tematu seminarium - 15h.
Konsultacje pracy - 5h.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 - 20h, konsultacje pracy - 5h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indywidualna  przy wykonywaniu prezentacji tematu seminarium - 15h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obrony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prac dyplomowych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 dla każdego tematu pracy.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SEMNARIPBW1: </w:t>
      </w:r>
    </w:p>
    <w:p>
      <w:pPr/>
      <w:r>
        <w:rPr/>
        <w:t xml:space="preserve">	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SEMNARIPBU1: </w:t>
      </w:r>
    </w:p>
    <w:p>
      <w:pPr/>
      <w:r>
        <w:rPr/>
        <w:t xml:space="preserve">	Potrafi pozyskiwać informacje z zakresu budownictwa z literatury, baz danych oraz innych własciwie dobranych źródeł, także w jezyku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SEMNARIPBK1: </w:t>
      </w:r>
    </w:p>
    <w:p>
      <w:pPr/>
      <w:r>
        <w:rPr/>
        <w:t xml:space="preserve">	Formułuje wnioski i opisuje wyniki prac własnych. Jest komunikatywny w prezentacjach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2025-05-05T18:18:35+02:00</dcterms:created>
  <dcterms:modified xsi:type="dcterms:W3CDTF">2025-05-05T18:18:35+02:00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