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Golubińska; dr inż. Piotr Knyziak, 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• Ustawienia programu - preferencje zadania, materiały, normy, dokładność, jednostki itp. • Obciążenia konstrukcji - przypadki obciążeń, definicje obciążeń: obciążenia powierzchniowe i liniowe, kombinacje ręczne i automatyczne, okładziny • Konstrukcje prętowe – płaskie i przestrzenne; definicja prętów, modelowanie połączeń (węzłów) i podpór, materiały, charakterystyki przekroju 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 • Rezultaty dla konstrukcji prętowych i płytowych – interpretacja rezultatów, rezultaty tabelaryczne sił, przemieszczeń i reakcji; wykresy sił, przemieszczeń i reakcji; mapy, izolinie i wartości w elementach skończonych, przecięcia przez panele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AUPRKOW01: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AUPRKOW02: </w:t>
      </w:r>
    </w:p>
    <w:p>
      <w:pPr/>
      <w:r>
        <w:rPr/>
        <w:t xml:space="preserve">														Zna zasady modelowania konstrukcji prętowych i płyt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AUPRKOU01: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AUPRKOU02: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AUPRKOK01: </w:t>
      </w:r>
    </w:p>
    <w:p>
      <w:pPr/>
      <w:r>
        <w:rPr/>
        <w:t xml:space="preserve">Umie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2026-10-03T05:00:57+02:00</dcterms:created>
  <dcterms:modified xsi:type="dcterms:W3CDTF">2026-10-03T05:00:57+02:00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