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ćwiczenia projektowe 15 godz.;pracownia komputerowa 15 godz.; przygotowanie do ćwiczeń 15 godz.; przygotowanie do zajęć w pracowni komputerowej 15 godz.; korzystanie z literatury 10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godz.=1,5 ECTS: ćwiczenia projektowe 15 godz.; pracownia komputerowa 15 godz.; konsultacje i zaliczanie przedmiotu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=2,5 ECTS: ćwiczenia projektowe 15 godz., pracownia komputerowa 15 godz., przygotowanie do ćwiczeń projektowych (wykonanie 4 projektów)15 godz., przygotowanie do zajęć w pracowni komputerowej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odwracalnego odwzorowania przestrzeni na płaszczyznę:rzut środkowy (perspektywa), rzut równoległy ukośny (aksonometria ukośna), rzut równoległy prostokątny (rzuty Monge'a).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GEWYK1W3: </w:t>
      </w:r>
    </w:p>
    <w:p>
      <w:pPr/>
      <w:r>
        <w:rPr/>
        <w:t xml:space="preserve">Zna w zakresie podstawowym wybrane oprogramowania typu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rzutavh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2026-07-30T04:27:43+02:00</dcterms:created>
  <dcterms:modified xsi:type="dcterms:W3CDTF">2026-07-30T04:27:43+02:00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