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zależenie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20 godz., praca własna studenta 30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godz.= 1 ECTS: obecność na zajęciach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Rozumienia technicznych i pozatechnicznych aspektów działalności człowieka. &lt;br&gt;
Inspirowanie do samokształcenia.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właściwe dla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właściwe dla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właściwy dla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HESWY2W1: </w:t>
      </w:r>
    </w:p>
    <w:p>
      <w:pPr/>
      <w:r>
        <w:rPr/>
        <w:t xml:space="preserve">							właściwy dla przedmiotu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właściwy dla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HESWY2K1: </w:t>
      </w:r>
    </w:p>
    <w:p>
      <w:pPr/>
      <w:r>
        <w:rPr/>
        <w:t xml:space="preserve">Rozumienie technicznych i pozatechnicznych aspektów działalności człowieka. Inspirowanie do samokształcenia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właściwy dla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2026-10-02T13:09:04+02:00</dcterms:created>
  <dcterms:modified xsi:type="dcterms:W3CDTF">2026-10-02T13:09:04+02:00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