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(DS, IK,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Bujak dr inż. arch., Rafał Bujnowski mgr inż., Adam Dolot, dr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ARCHI1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projekt 30 godz., przygotowanie do zajęć projektowych 15 godz., przygotowanie do kolokwium 10 godz., konsultacja i zaliczenie projektu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15 godz., projekt 30 godz., konsultacje i zaliczenie projektu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45 godz. = 2 ECTS: projekt 30 godz., przygotowanie do zajęć projektowych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 i podstaw Inżynierii komunikacyjnej.  Niezbędna jest  umiejętność sporządzania szkiców i  rysunków architektoniczno-budowlanych.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humanizacja studiów technicznych; zapoznanie słuchaczy z rozwojem form architektonicznych, historią i problematyką budowy miast i, planowaniem przestrzennym w Europie i w Polsce oraz sposobem działania Ustawy o Planowaniu i Zagospodarowaniu Przestrzennym.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urbanistycznego z elementami architektury mającymi wpływ na sposób percepcji przestrzeni. Zapoznają słuchaczy z podstawowymi pojęciami i definicjami architektury i urbanistyki. Przedstawiają rozwój budowy miast i form architektonicznych w historii cywilizacji ze specjalnym zwróceniem uwagi na urbanistykę w Polsce. Omawiane są zagadnienia związane ze sporządzaniem  planu miejscowego zagospodarowania przestrzennego. Prezentowana jest i analizowana architektura budowli inżynierskich.
Tematem ćwiczeń jest samodzielne opracowanie szkicowego projektu urbanistycznego zespołu mieszkaniowego w zabudowie wielo - i jedno –rodzinnej, z usługami podstawowymi w skali 1:500. Dodatkowo należy zaprojektować układ typowej kondygnacji budynku wielorodzinnego oraz przekrój poprzeczny  przez ten budynek. Korekty indywidualne.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są zaliczane (po zaliczeniu przeglądu projektu wyznaczonego w połowie semestru) po złożeniu projektu, wykonanego przez studenta w ciągu całego semestru, akceptowanego przez prowadzącego indywidualne korekty 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Buchner Monika i Andrzej, Laube Jan, Zarys projektowania i historii architektury, WSiPW 1991
[1] Broniewski Tadeusz, Historia architektury dla wszystkich, Ossolineum 1980
[2] Koch Wilfried, Style w architekturze, Świat Książki 1996 
[3] Neufert Ernst i Peter, Podręcznik projektowania architektoniczno-budowlanego, Arkady 1995
[4] Pevsner Nikolaus, Historia architektury europejskiej, Arkady 1979
[5] Ostrowski Wacław, Wprowadzenie do historii budowy miast, OWPW 1996
[6] Rozporządzenie ministra infrastruktury z dnia 12 kwietnia 2002 r. w sprawie warunków technicznych jakim powinny odpowiadać budynki i ich usytuowanie, (Dz U Nr 75 z dnia 15 czerwca 2002 r.) z późniejszymi zmianami
[7] Ustawa z dnia 27 marca 2003 r o planowaniu i zagospodarowaniu przestrzennym,  (Dz. U. Nr 80 z dnia 10 maja 2003 r.)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ARCHI1IKW1: </w:t>
      </w:r>
    </w:p>
    <w:p>
      <w:pPr/>
      <w:r>
        <w:rPr/>
        <w:t xml:space="preserve">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K1_W11, K1_W16, K1_W19, K1_W22, 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T1A_W02, T1A_W05, T1A_W08, T1A_W06, T1A_W08, T1A_W09, T1A_W02, T1A_W03, T1A_W07, T1A_W08, T1A_W10</w:t>
      </w:r>
    </w:p>
    <w:p>
      <w:pPr>
        <w:keepNext w:val="1"/>
        <w:spacing w:after="10"/>
      </w:pPr>
      <w:r>
        <w:rPr>
          <w:b/>
          <w:bCs/>
        </w:rPr>
        <w:t xml:space="preserve">Efekt ARCHI1IKW2: </w:t>
      </w:r>
    </w:p>
    <w:p>
      <w:pPr/>
      <w:r>
        <w:rPr/>
        <w:t xml:space="preserve">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K1_W19, 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ARCHI1IKU1: </w:t>
      </w:r>
    </w:p>
    <w:p>
      <w:pPr/>
      <w:r>
        <w:rPr/>
        <w:t xml:space="preserve">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K1_U13, K1_U18,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T1A_U03, T1A_U07, T1A_U15, T1A_U03, T1A_U13,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ARCHI1IKU2: </w:t>
      </w:r>
    </w:p>
    <w:p>
      <w:pPr/>
      <w:r>
        <w:rPr/>
        <w:t xml:space="preserve">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K1_U13, K1_U18,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T1A_U03, T1A_U07, T1A_U15, T1A_U03, T1A_U13,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ARCHI1IKU3: </w:t>
      </w:r>
    </w:p>
    <w:p>
      <w:pPr/>
      <w:r>
        <w:rPr/>
        <w:t xml:space="preserve">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ARCHI1IKK1: </w:t>
      </w:r>
    </w:p>
    <w:p>
      <w:pPr/>
      <w:r>
        <w:rPr/>
        <w:t xml:space="preserve">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K1_K06,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T1A_K01, T1A_K07,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2025-05-12T14:43:19+02:00</dcterms:created>
  <dcterms:modified xsi:type="dcterms:W3CDTF">2025-05-12T14:43:19+02:00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