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(DS, IK,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Bujak dr inż. arch., Rafał Bujnowski mgr inż., Adam Dolot, dr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ARCHI1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projekt 30 godz., przygotowanie do zajęć projektowych 15 godz., przygotowanie do kolokwium 10 godz., konsultacja i zaliczenie projektu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15 godz., projekt 30 godz., konsultacje i zaliczenie projektu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 projekt 30 godz., przygotowanie do zajęć projektowych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 i podstaw Inżynierii komunikacyjnej.  Niezbędna jest  umiejętność sporządzania szkiców i  rysunków architektoniczno-budowlanych.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humanizacja studiów technicznych; zapoznanie słuchaczy z rozwojem form architektonicznych, historią i problematyką budowy miast i, planowaniem przestrzennym w Europie i w Polsce oraz sposobem działania Ustawy o Planowaniu i Zagospodarowaniu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urbanistycznego z elementami architektury mającymi wpływ na sposób percepcji przestrzeni. Zapoznają słuchaczy z podstawowymi pojęciami i definicjami architektury i urbanistyki. Przedstawiają rozwój budowy miast i form architektonicznych w historii cywilizacji ze specjalnym zwróceniem uwagi na urbanistykę w Polsce. Omawiane są zagadnienia związane ze sporządzaniem  planu miejscowego zagospodarowania przestrzennego. Prezentowana jest i analizowana architektura budowli inżynierskich.
Tematem ćwiczeń jest samodzielne opracowanie szkicowego projektu urbanistycznego zespołu mieszkaniowego w zabudowie wielo - i jedno –rodzinnej, z usługami podstawowymi w skali 1:500. Dodatkowo należy zaprojektować układ typowej kondygnacji budynku wielorodzinnego oraz przekrój poprzeczny  przez ten budynek. Korekty indywidualne.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są zaliczane (po zaliczeniu przeglądu projektu wyznaczonego w połowie semestru) po złożeniu projektu, wykonanego przez studenta w ciągu całego semestru, akceptowanego przez prowadzącego indywidualne korekty 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Buchner Monika i Andrzej, Laube Jan, Zarys projektowania i historii architektury, WSiPW 1991
[1] Broniewski Tadeusz, Historia architektury dla wszystkich, Ossolineum 1980
[2] Koch Wilfried, Style w architekturze, Świat Książki 1996 
[3] Neufert Ernst i Peter, Podręcznik projektowania architektoniczno-budowlanego, Arkady 1995
[4] Pevsner Nikolaus, Historia architektury europejskiej, Arkady 1979
[5] Ostrowski Wacław, Wprowadzenie do historii budowy miast, OWPW 1996
[6] Rozporządzenie ministra infrastruktury z dnia 12 kwietnia 2002 r. w sprawie warunków technicznych jakim powinny odpowiadać budynki i ich usytuowanie, (Dz U Nr 75 z dnia 15 czerwca 2002 r.) z późniejszymi zmianami
[7] Ustawa z dnia 27 marca 2003 r o planowaniu i zagospodarowaniu przestrzennym,  (Dz. U. Nr 80 z dnia 10 maja 2003 r.)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ARCHI1IKW1: </w:t>
      </w:r>
    </w:p>
    <w:p>
      <w:pPr/>
      <w:r>
        <w:rPr/>
        <w:t xml:space="preserve">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K1_W07, 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T1A_W04, T1A_W05, T1A_W07, T1A_W08, T1A_W02</w:t>
      </w:r>
    </w:p>
    <w:p>
      <w:pPr>
        <w:keepNext w:val="1"/>
        <w:spacing w:after="10"/>
      </w:pPr>
      <w:r>
        <w:rPr>
          <w:b/>
          <w:bCs/>
        </w:rPr>
        <w:t xml:space="preserve">Efekt ARCHI1IKW2: </w:t>
      </w:r>
    </w:p>
    <w:p>
      <w:pPr/>
      <w:r>
        <w:rPr/>
        <w:t xml:space="preserve">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ARCHI1IKU1: </w:t>
      </w:r>
    </w:p>
    <w:p>
      <w:pPr/>
      <w:r>
        <w:rPr/>
        <w:t xml:space="preserve">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ARCHI1IKU2: </w:t>
      </w:r>
    </w:p>
    <w:p>
      <w:pPr/>
      <w:r>
        <w:rPr/>
        <w:t xml:space="preserve">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ARCHI1IKU3: </w:t>
      </w:r>
    </w:p>
    <w:p>
      <w:pPr/>
      <w:r>
        <w:rPr/>
        <w:t xml:space="preserve">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ARCHI1IKK1: </w:t>
      </w:r>
    </w:p>
    <w:p>
      <w:pPr/>
      <w:r>
        <w:rPr/>
        <w:t xml:space="preserve">Ma zdolność kompetentnej współpracy z architektem w tracie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2026-10-21T05:27:24+02:00</dcterms:created>
  <dcterms:modified xsi:type="dcterms:W3CDTF">2026-10-21T05:27:24+02:00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