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KOSZTY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ECTS:&lt;br&gt; udział w wykładach 15 godz., przygotowanie do kolejnych wykładów (przejrzenie materiałów z wykładu i dodatkowej literatury, próba rozwiązania miniproblemów sformułowanych na wykładzie):  5 godz., udział w konsultacjach związanych z realizacją projektu 15 godz., ćwiczenia projektowe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ECTS&lt;br&gt;
wykłady 15 godz. +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ECTS&lt;br&gt; udział w konsultacjach związanych z realizacją projektu 15 godz.,
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inwestycyjnego.&lt;br&gt; W rezultacie, nabywa wiedzę niezbędną do prawidłowego przygotowania przedsięwzięcia budowlanego do realizacji. &lt;br&gt;Wiedza ta jest ugruntowywana praktycznie 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&lt;br&gt;- klasyfikację nakładów inwestycyjnych oraz zasady i metody ustalania wartości kosztorysowej inwestycji budowlanej, &lt;br&gt;- proste metody oceny efektywności wariantowych programów funkcjonalno &lt;br&gt;– użytkowych inwestycji budowlanej, &lt;br&gt;- zasady oceny efektywności wariantowych programów funkcjonalno – użytkowych inwestycji z uwzględnieniem metod dyskontowych, &lt;br&gt;- zasady i metody uwzględniania ryzyka i niepewności w rachunku ekonomicznym inwestycji budowlanej, &lt;br&gt;-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sprawdzianem pisemnym ocenianym w skali od 2 do 5. &lt;br&gt;Ćwiczenia – ocena zbiorcza jako średnia arytmetyczna ocen za wykonanie ćwiczeń projektowych. Ćwiczenia oceniane w skali od 2 do 5. &lt;br&gt;Ocena ostateczna przedmiotu: średnia ważona dwóch ocen: z pisemnego zaliczenia wykładów (60% oceny łącznej) i zaliczenia ćwiczeń (40%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1999; &lt;br&gt;
[2] M. Sierpińska, T. Jachna. Ocena przedsiębiorstwa według standardów światowych. Wydawnictwo Naukowe PWN, Wyd. II, Warszawa 1994; &lt;br&gt;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KOSZTYW1: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KOSZTYU1: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KOSZTYK1: </w:t>
      </w:r>
    </w:p>
    <w:p>
      <w:pPr/>
      <w:r>
        <w:rPr/>
        <w:t xml:space="preserve">Ma świadomość ważności ekonomicznych aspektów dzialałności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2026-06-17T22:13:10+02:00</dcterms:created>
  <dcterms:modified xsi:type="dcterms:W3CDTF">2026-06-17T22:13:10+02:00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