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do wyboru szt.3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 x 2 ECTS = 6 ECTS: godziny pracy studenta zgodnie z opisem wybranego przedmiotu.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 x 30 godz. = 90 godz. = 3,5 ECTS: 3 przedmioty po 30 godzin zajęć z nauczycielem akademickim każdy.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os/grupę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 : </w:t>
      </w:r>
    </w:p>
    <w:p>
      <w:pPr/>
      <w:r>
        <w:rPr/>
        <w:t xml:space="preserve">														Przekazanie szczegółowej wiedzy związanej z wybranymi zagadnieniami z zakresu budownictwa zgodnie z zainteresowaniami studenta, przedstawienie trendów rozwojowych w budownictwie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 : </w:t>
      </w:r>
    </w:p>
    <w:p>
      <w:pPr/>
      <w:r>
        <w:rPr/>
        <w:t xml:space="preserve">														Kształtowanie umiejętności rozumienia technicznych i pozatechnicznych aspektów działalności inżynierskiej.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2026-09-30T17:42:16+02:00</dcterms:created>
  <dcterms:modified xsi:type="dcterms:W3CDTF">2026-09-30T17:42:16+02:00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