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Kaliszuk-Wietecka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FIBUD2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15 godz. wykładów, 30 godz. ćwiczeń projektowych, praca własna 20 godz., konsultacje, zaliczenie projektu i udział w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 ECTS: 15 godz. wykładów, 30 godz. ćwiczeń projektowych, konsultacje, zaliczenie projektu i udział w egzaminie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30 godz. ćwiczeń projektowych, praca własna nad projektem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 i Fizyka Budowli (sem. 5).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Gospodarka niskoemisyjna, Diagnozowanie energochłonności budynków istniejących - audyt energetyczny, - świadectwo energetyczne, - termowizja.&lt;br&gt; • Termomodernizacja budynków istniejących (stan prawny).&lt;br&gt; • Zasady projektowania ocieplenia przegród zewnętrznych w budynku istniejącym.&lt;br&gt; • Metodyka napraw i wymiany izolacji przeciwwilgociowej i przeciwwodnej.&lt;br&gt; • Alternatywne źródła energii wykorzystywane w bilansie energetycznym budynku: pompa ciepła, kolektory słoneczne, kotły na paliwa odnawialne, biogaz, gaz wysypiskowy, wiatraki i małe elektrownie wodne.&lt;br&gt; • Izolacje transparentne i próżniowe.&lt;br&gt; • Rekuperacja ciepła w systemach wentylacji.&lt;br&gt; • Modyfikacje konstrukcji w kierunku zwiększenia efektywności energetycznej budynków (nadbudowy, dobudowy, przebudowy).&lt;br&gt; • Ocena efektywności termomodernizacji.&lt;br&gt; • Przykłady rozwiązań termomodernizacyjnych krajów europejskich.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audytu i świadectwa energetycznego dla małego budynku mieszkalnego. Zajęcia kończą się kolokwium. &lt;br&gt;Końcową ocenę z przedmiotu otrzymują studenci na podstawie oceny z kolokwium i oceny z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publikacje: &lt;br&gt; 
[1] „Budownictwo ogólne tom2” Praca zbiorowa – Arkady 2005;&lt;br&gt; [2] „Ochrona cieplna i charakterystyka energetyczna budynku” 2005 L. Laskowski;&lt;br&gt; 
[3] „Ochrona cech energetycznych budynków Poradnik” M. Robakiewicz 2005;&lt;br&gt; [4]”Izolacje cieplne. Mechanizmy wymiany ciepła, właściwości cieplne i ich pomiary” P. Furmański, T.S. Wiśniewski, J. Banaszek – ITC PW 2006;&lt;br&gt; 
[5] Dyrektywa Europejska EPD 2002/91/WE w sprawie charakterystyki energetycznej budynków Normy, ustawy;&lt;br&gt; 
[6] PN-EN ISO 6946:1999;&lt;br&gt; 
[7] PN-B-02025;&lt;br&gt; 
[8] PN-EN ISO 13788:2002;&lt;br&gt; 
[9] Rozporządzenie Ministra Infrastruktury z dnia 12.04 2002 w sprawie warunków technicznych…… (DzU z 2002 r. nr 75 poz.690 z późniejszymi);&lt;br&gt; [10] Ustawa 18.12.1998 r. o wspieraniu przedsięwzięć termomodernizacyjnych (DzU z 1998 r. nr 162 poz.1121 z późniejszymi zm);&lt;br&gt; 
[11] Miesięczniki : „Materiały budowlane”, „Izolacje”, Energia i budynek”, „Doradca energetyczny”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FIBUD2W1: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K1_W11, K1_W12, K1_W16, K1_W19, K1_W20,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T1A_W08, T1A_W01, T1A_W02, T1A_W04, T1A_W06, T1A_W06, T1A_W08, T1A_W09, T1A_W02, T1A_W06,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FIBUD2U1: </w:t>
      </w:r>
    </w:p>
    <w:p>
      <w:pPr/>
      <w:r>
        <w:rPr/>
        <w:t xml:space="preserve">potrafi wskazać właściwe usprawnienia termomodernizacyjne oraz wykonać przegrody minimalizujące energochłonność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K1_U10, K1_U17, K1_U18, K1_U20,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T1A_U13, T1A_U01, T1A_U03, T1A_U04, T1A_U06, T1A_U03, T1A_U13, T1A_U14, T1A_U15, T1A_U16, T1A_U07, T1A_U11, T1A_U15,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FIBUD2K1: </w:t>
      </w:r>
    </w:p>
    <w:p>
      <w:pPr/>
      <w:r>
        <w:rPr/>
        <w:t xml:space="preserve">Studiuje literaturę, prasę techniczną i informację na temat zagadnień związanych z przedmiotem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2026-10-01T04:14:48+02:00</dcterms:created>
  <dcterms:modified xsi:type="dcterms:W3CDTF">2026-10-01T04:14:48+02:00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