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Brzeziński, Dr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INZKO2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45 godz., przygotowanie do ćwiczeń 20 godz., konsultacje i zaliczenie projektu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
ćwiczenia projektowe 45 godz.,
konsultacje i zaliczenie projektu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
ćwiczenia projektowe 45 godz., przygotowanie do ćwiczeń 20 godz., konsultacje i zaliczenie projektu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Poznanie podstawowych zasad planowania systemów transportowych i ich infrastruktury oraz projektowania obiektów inżynierii komunikacyjnej tj. dróg samochodowych i dróg szynowych.&lt;br&gt;- Zdobycie umiejętności projektowania najprostszych obiektów komunikacyjnych takich jak droga lokalna, parking, odcinek drogi szynowej. &lt;br&gt;- Przekazanie informacji niezbędnych do przemyślanego wyboru specjalności na dalszych studiach. &lt;br&gt;- Stworzenie przyszłym studentom specjalności Inżynieria Komunikacyjna wyjściowej bazy wiedzy dla przedmiotów specjalistycznych studiowanych na dalszych semestrach.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&lt;b&gt;Ćwiczenia&lt;/b&gt; (45 godz.): &lt;ol&gt;&lt;li&gt; Projekt drogi samochodowej zamiejskiej klasy Z, (21 godz.). &lt;li&gt;Projekt trasy i konstrukcji drogi szynowej (kolejowej, tramwajowej),(12 godz.). &lt;li&gt; Laboratorium komputerowe - symulacja ruchu i obliczenia konstrukcji nawierzchni drogi, (12 godz.).&lt;/ol&gt;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&lt;b&gt;Ćwiczenia:&lt;/b&gt; zaliczane na każdym semestrze osobno oceną ustaloną jako średnia ważona na podstawie ocen cząstkowych, z których każda musi być pozytywna. Wagi ocen cząstkowych dla ćwiczeń (nr ćwiczenia – waga): sem. 3: 1 – 0,25; 2 – 0,75; sem. 4: 3 – 0,50; 4 – 0,30; 5 – 0,20. Ćwiczenia mogą być zdawane tylko w ciągu tego roku akademickiego, na którym student był uprawniony do uczęszczania na nie na podstawie rejestracji Dziekanatu (był wpisany na listę). Ocena łączna jest ustalana dla każdego semestru oddzielnie: na sem. 3 jako średnia ważona z egzaminu (waga 0,70) i z ćwiczeń (waga 0,30); na sem. 4 na podstawie oceny ćwiczeń w tym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do ćwiczeń stanowiące syntezę odpowiednich przepisów i wytycznych projektowania - opracowania osób prowadzących ćwiczenia, dostępne w wersji powielonej w sekretariacie Zakładu 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INZKO2W1: </w:t>
      </w:r>
    </w:p>
    <w:p>
      <w:pPr/>
      <w:r>
        <w:rPr/>
        <w:t xml:space="preserve">Zna podstawy projektowania i analizy typowych obiektów komunikacyjnych. Ma podstawową wiedzę w zakresie zagadnień powiązanych z urbanistyką i transportem. Ma wiedzę na temat funkcji informacji, doboru źródeł informacji, a także technicznych sposobów gromadzenia, przechowywania i dystrybucji informacji. Zna podstawowe normy, rozporządzenia oraz wytyczne projektowania, wykonywania i eksploatacji 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K1_W19, K1_W21,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INZKO2U1: </w:t>
      </w:r>
    </w:p>
    <w:p>
      <w:pPr/>
      <w:r>
        <w:rPr/>
        <w:t xml:space="preserve">Umie zaprojektować wybrane elementy i proste konstrukcje dorgowe. Ma kompetencje do wykonania badań terenowych. Potrafi korzystać z podstawowych norm, rozporządzeń oraz wytycznych projektowania, wykonywania i eksploatacji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T1A_U04, T1A_U08, T1A_U11, T1A_U14,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INZKO2K1: </w:t>
      </w:r>
    </w:p>
    <w:p>
      <w:pPr/>
      <w:r>
        <w:rPr/>
        <w:t xml:space="preserve">Potrafi pracować samodzielnie i współpracować w zespole nad wyznaczonym zadaniem, określać priorytety służące reazlizacji zadań. Ma świadomość konieczności podnoszenia kompetencji zawodowych i osobistych. Samodzielnie uzupełnia i poszerza wiedzę.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2026-02-28T02:49:27+01:00</dcterms:created>
  <dcterms:modified xsi:type="dcterms:W3CDTF">2026-02-28T02:49:27+01:00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