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szynowych.&lt;br&gt;- Zdobycie umiejętności projektowania najprostszych obiektów komunikacyjnych takich jak droga lokalna, parking, odcinek drogi szynowej. &lt;br&gt;- Przekazanie informacji niezbędnych do przemyślanego wyboru specjalności na dalszych studiach. &lt;br&gt;-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&lt;b&gt;Ćwiczenia&lt;/b&gt; (45 godz.): &lt;ol&gt;&lt;li&gt; Projekt drogi samochodowej zamiejskiej klasy Z, (21 godz.). &lt;li&gt;Projekt trasy i konstrukcji drogi szynowej (kolejowej, tramwajowej),(12 godz.). &lt;li&gt; Laboratorium komputerowe - symulacja ruchu i obliczenia konstrukcji nawierzchni drogi, (12 godz.).&lt;/ol&gt;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&lt;b&gt;Ćwiczenia:&lt;/b&gt;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Ma wiedzę na temat funkcji informacji, doboru źródeł informacji, a także technicznych sposobów gromadzenia, przechowywania i dystrybucji informacji.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INZKO2U1: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INZKO2K1: </w:t>
      </w:r>
    </w:p>
    <w:p>
      <w:pPr/>
      <w:r>
        <w:rPr/>
        <w:t xml:space="preserve">Potrafi pracować samodzielnie i współpracować w zespole nad wyznaczonym zadaniem, określać priorytety służące reazlizacji zadań. Ma świadomość konieczności podnoszenia kompetencji zawodowych i osobistych. Samodzielnie uzupełnia i poszerza wiedzę.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2026-09-30T21:37:40+02:00</dcterms:created>
  <dcterms:modified xsi:type="dcterms:W3CDTF">2026-09-30T21:37:40+02:00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