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Małgorzata Orechwo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Pojazdów Elektrycznych i Hybrydowych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1180-PE000-ISP-0401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32,w tym:
a) wykład - 30 godz.;
b) konsultacje - 2 godz.;
2) Praca własna studenta - czytanie wskazanej literatury, przygotowanie do zajęć oraz sprawdzianu końcowego 18 godz.
3) RAZEM – 50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– liczba godzin kontaktowych - 32, w tym:
a) wykład 30 godz.;
b) konsultacje 20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Zrozumienie funkcjonowania gospodarki rynkowej. Zapoznanie się z podstawowymi kategoriami i mechanizmami ekonomicznymi. Zdobycie umiejętności w zakresie interpretowania i oceny zjawisk ekonomiczno-społecznych.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Przedmiot i zakres ekonomii. Zasoby a potrzeby ludzkie.  Podstawowe kategorie ekonomiczne: popyt, podaż, cena równowagi, elastyczność popytu i podaży. Zjawisko konkurencji, struktury rynkowe funkcjonujące w gospodarce.  Zysk, przychód, koszty w przedsiębiorstwie. Rynek czynników produkcji. Rynek kapitałowy. Zjawisko bezrobocia i inflacji. Rola wzrostu i rozwoju gospodarczego. Ekonomiczna rola państwa w gospodarce.  Integracja gospodarcza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 pisemny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Wybrane rozdziały z: 1. red. S. Marciniak: Podstawy makro – i mikroekonomii,Wydawnictwo Naukowe PWN, Warszawa 2013. 2. red. R. Milewski: Podstawy ekonomii, Wydawnictwo Naukowe PWN, Warszawa 2008.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1180-PE000-ISP-0401_W1: </w:t>
      </w:r>
    </w:p>
    <w:p>
      <w:pPr/>
      <w:r>
        <w:rPr/>
        <w:t xml:space="preserve">Zna ogólne zasady tworzenia i rozwoju form indywidualnej przedsiębiorczości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T1A_W09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1180-PE000-ISP-0401_U1: </w:t>
      </w:r>
    </w:p>
    <w:p>
      <w:pPr/>
      <w:r>
        <w:rPr/>
        <w:t xml:space="preserve">Student na podstawie przeprowadzonej analizy literatury potrafi zinterpretować i ocenić zjawiska ekonomiczno-społeczne.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T1A_U09, T1A_U12, InzA_U04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1180-PE000-ISP-0401_K1: </w:t>
      </w:r>
    </w:p>
    <w:p>
      <w:pPr/>
      <w:r>
        <w:rPr/>
        <w:t xml:space="preserve">Ma świadomość ważności i rozumie pozatechniczne aspekty i skutki działalności inżyniera.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K_K02, K_K03, 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T1A_K02, InzA_K01, T1A_K05, T1A_K06, InzA_K02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2025-05-08T00:37:28+02:00</dcterms:created>
  <dcterms:modified xsi:type="dcterms:W3CDTF">2025-05-08T00:37:28+02:00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