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Dr inż. Szymon Gontarz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1150-PE000-ISP-0315</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-15 godz.;
b) laboratorium- 15 godz.;
c) konsultacje - 2 godz.;
d) egzamin – 2 godz.;
2) Praca własna studenta – 26, w tym:
a) studia literaturowe: 5 godz.;
b) przygotowanie do zajęć: 3 godz.;
c) przygotowywanie sprawozdań z ćwiczeń laboratoryjnych: 10 godz.
d) przygotowywanie się studenta do egzaminu: 8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 ECTS – liczba godzin kontaktowych - 34, w tym:
a) wykład -15 godz.;
b) laboratorium- 15 godz.;
c) konsultacje - 2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- 25, w tym:
a) udział w ćwiczeniach laboratoryjnych - 15 godz.;
b) przygotowywanie sprawozdań z ćwiczeń laboratoryjnych: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analizy matematycznej, postaw fizyki w szczególności teorii drgań, mechaniki oraz wytrzymałości materiałów.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przydatnej do formułowania i rozwiązywania prostych zadań z zakresu diagnostyki, eksploatacji obiektów technicznych. Poznanie budowy i zasady działania systemów diagnostycznych. Zrozumienie aspektów ekonomicznych, społecznych, prawnych i eksploatacyjnych w dziedzinie diagnostyki oraz trendów rozwoju współczesnych układów mechanicznych.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Ogólna wiedza nt. zasady rozwiązywania problemów diagnostyki technicznej oraz metod i środków diagnozowania. 
1. Modele błędów i procesów.
2. Fizykalne modele sygnałów.
3. Detekcja błędu na podstawie modelu sygnału.
4. Analiza sygnałów okresowych.
5. Detekcja błędów i uszkodzeń za pomocą metod identyfikacji procesów.
6. Porównanie metod detekcji uszkodzeń.
7. Procedury diagnostyczne.
8. Diagnozowanie uszkodzeń za pomocą metod klasyfikacji.
9. Wnioskowanie diagnostyczne 
10. Metody statystyczne w diagnostyce.
11. Eksperymenty diagnostyczne.
Laboratorium:
Praktyczne zapoznanie się z metodami i środkami diagnostyki technicznej.
1. Wykorzystanie zjawisk falowych w diagnostyce konstrukcji sprężonych.
2. Diagnostyka stanu naprężeń.
3. Diagnostyka gigacyklowego procesu zmęczeniowego.
4. Diagnostyka hydraulicznych elementów wykonawczych układów hydraulicznych.
5. Diagnostyka konstrukcji za pomocą analizy modalnej.
</w:t>
      </w:r>
    </w:p>
    <w:p>
      <w:pPr>
        <w:keepNext w:val="1"/>
        <w:spacing w:after="10"/>
      </w:pPr>
      <w:r>
        <w:rPr>
          <w:b/>
          <w:bCs/>
        </w:rPr>
        <w:t xml:space="preserve">Metody oceny: </w:t>
      </w:r>
    </w:p>
    <w:p>
      <w:pPr>
        <w:spacing w:before="20" w:after="190"/>
      </w:pPr>
      <w:r>
        <w:rPr/>
        <w:t xml:space="preserve">Laboratorium: Każde ćwiczenie laboratoryjne ocenione zostaje bezpośrednio po jego zakończeniu. Podstawą oceny jest poprawne wykonanie ćwiczenia zakończone sprawozdaniem oraz jego ustne obronienie. Jest to możliwe po dopuszczeniu studenta do wykonania ćwiczenia po uprzedniej weryfikacji teoretycznego przygotowania studenta do zajęć.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Wykład: Zaliczenie części wykładowej odbywa się podczas egzaminu pisemnego, zgodnie z harmonogramem sesji egzaminacyjnej.
Ocena łączna: Ocena łączna z przedmiotu jest średnią ważoną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Cempel Cz.: 1989. Diagnostyka wibroakustyczna maszyn. PWN Warszawa.
2. Smalko Z.: 1998. Podstawy Eksploatacji Technicznej Pojazdów. Oficyna Wydawnicza Politechniki Warszawskiej.
3. Levitt: 1997. The Handbook of Maintenance Management, Idustrial Pres Jnc.
4. Radkowski S.: 2002. Wibroakustyczna Diagnostyka Uszkodzeń Niskoenergetycznych. ITE Radom-Warszawa
</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1150-PE000-ISP-0315_W1: </w:t>
      </w:r>
    </w:p>
    <w:p>
      <w:pPr/>
      <w:r>
        <w:rPr/>
        <w:t xml:space="preserve">Posiada uporządkowaną, podbudowaną teoretycznie wiedzę ogólną obejmującą kluczowe zagadnienia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1150-PE000-ISP-0315_W2: </w:t>
      </w:r>
    </w:p>
    <w:p>
      <w:pPr/>
      <w:r>
        <w:rPr/>
        <w:t xml:space="preserve">Posiada wiedzę ogólną niezbędną do rozumienia ekonomicznych, społecznych i prawnych aspektów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K_W19, K_W21</w:t>
      </w:r>
    </w:p>
    <w:p>
      <w:pPr>
        <w:spacing w:before="20" w:after="190"/>
      </w:pPr>
      <w:r>
        <w:rPr>
          <w:b/>
          <w:bCs/>
        </w:rPr>
        <w:t xml:space="preserve">Powiązane efekty obszarowe: </w:t>
      </w:r>
      <w:r>
        <w:rPr/>
        <w:t xml:space="preserve">T1A_W05, T1A_W08</w:t>
      </w:r>
    </w:p>
    <w:p>
      <w:pPr>
        <w:keepNext w:val="1"/>
        <w:spacing w:after="10"/>
      </w:pPr>
      <w:r>
        <w:rPr>
          <w:b/>
          <w:bCs/>
        </w:rPr>
        <w:t xml:space="preserve">Efekt 1150-PE000-ISP-0315_W3: </w:t>
      </w:r>
    </w:p>
    <w:p>
      <w:pPr/>
      <w:r>
        <w:rPr/>
        <w:t xml:space="preserve">Posiada podstawową wiedzę o trendach rozwojowych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K_W15, K_W17</w:t>
      </w:r>
    </w:p>
    <w:p>
      <w:pPr>
        <w:spacing w:before="20" w:after="190"/>
      </w:pPr>
      <w:r>
        <w:rPr>
          <w:b/>
          <w:bCs/>
        </w:rPr>
        <w:t xml:space="preserve">Powiązane efekty obszarowe: </w:t>
      </w:r>
      <w:r>
        <w:rPr/>
        <w:t xml:space="preserve">T1A_W03, T1A_W04, T1A_W07, T1A_W03, T1A_W04, T1A_W07</w:t>
      </w:r>
    </w:p>
    <w:p>
      <w:pPr>
        <w:keepNext w:val="1"/>
        <w:spacing w:after="10"/>
      </w:pPr>
      <w:r>
        <w:rPr>
          <w:b/>
          <w:bCs/>
        </w:rPr>
        <w:t xml:space="preserve">Efekt 1150-PE000-ISP-0315_W4: </w:t>
      </w:r>
    </w:p>
    <w:p>
      <w:pPr/>
      <w:r>
        <w:rPr/>
        <w:t xml:space="preserve">Posiada podstawową wiedzę o cyklu życia obiektów technicznych i rozumie powagę aspektów ekologicznych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1150-PE000-ISP-0315_U1: </w:t>
      </w:r>
    </w:p>
    <w:p>
      <w:pPr/>
      <w:r>
        <w:rPr/>
        <w:t xml:space="preserve">Potrafi zaplanować i wykonać zadania związane z badaniami diagnostycznymi używając właściwych metod i środków.</w:t>
      </w:r>
    </w:p>
    <w:p>
      <w:pPr>
        <w:spacing w:before="60"/>
      </w:pPr>
      <w:r>
        <w:rPr/>
        <w:t xml:space="preserve">Weryfikacja: </w:t>
      </w:r>
    </w:p>
    <w:p>
      <w:pPr>
        <w:spacing w:before="20" w:after="190"/>
      </w:pPr>
      <w:r>
        <w:rPr/>
        <w:t xml:space="preserve">Krótki sprawdzian ustny/pisemny weryfikujący przygotowanie studenta do ćwiczeń  w laboratorium, ocena sprawozdania</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T1A_U08, T1A_U09, InzA_U01, InzA_U02, T1A_U08, T1A_U09</w:t>
      </w:r>
    </w:p>
    <w:p>
      <w:pPr>
        <w:keepNext w:val="1"/>
        <w:spacing w:after="10"/>
      </w:pPr>
      <w:r>
        <w:rPr>
          <w:b/>
          <w:bCs/>
        </w:rPr>
        <w:t xml:space="preserve">Efekt 1150-PE000-ISP-0315_U2: </w:t>
      </w:r>
    </w:p>
    <w:p>
      <w:pPr/>
      <w:r>
        <w:rPr/>
        <w:t xml:space="preserve">Potrafi odpowiednio ustalić priorytety służące realizacji określonego przez innych zadania.</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K_U20, K_U24</w:t>
      </w:r>
    </w:p>
    <w:p>
      <w:pPr>
        <w:spacing w:before="20" w:after="190"/>
      </w:pPr>
      <w:r>
        <w:rPr>
          <w:b/>
          <w:bCs/>
        </w:rPr>
        <w:t xml:space="preserve">Powiązane efekty obszarowe: </w:t>
      </w:r>
      <w:r>
        <w:rPr/>
        <w:t xml:space="preserve">T1A_U16, T1A_U15, InzA_U07</w:t>
      </w:r>
    </w:p>
    <w:p>
      <w:pPr>
        <w:pStyle w:val="Heading3"/>
      </w:pPr>
      <w:bookmarkStart w:id="4" w:name="_Toc4"/>
      <w:r>
        <w:t>Profil ogólnoakademicki - kompetencje społeczne</w:t>
      </w:r>
      <w:bookmarkEnd w:id="4"/>
    </w:p>
    <w:p>
      <w:pPr>
        <w:keepNext w:val="1"/>
        <w:spacing w:after="10"/>
      </w:pPr>
      <w:r>
        <w:rPr>
          <w:b/>
          <w:bCs/>
        </w:rPr>
        <w:t xml:space="preserve">Efekt 1150-PE000-ISP-0315_K1: </w:t>
      </w:r>
    </w:p>
    <w:p>
      <w:pPr/>
      <w:r>
        <w:rPr/>
        <w:t xml:space="preserve">Potrafi pracować samodzielnie i w zespole</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InzA_K01,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2026-10-18T19:13:43+02:00</dcterms:created>
  <dcterms:modified xsi:type="dcterms:W3CDTF">2026-10-18T19:13:43+02:00</dcterms:modified>
</cp:coreProperties>
</file>

<file path=docProps/custom.xml><?xml version="1.0" encoding="utf-8"?>
<Properties xmlns="http://schemas.openxmlformats.org/officeDocument/2006/custom-properties" xmlns:vt="http://schemas.openxmlformats.org/officeDocument/2006/docPropsVTypes"/>
</file>