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1150-PE000-ISP-0315</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laboratorium- 15 godz.;
c) konsultacje - 2 godz.;
d) egzamin – 2 godz.;
2) Praca własna studenta – 26, w tym:
a) studia literaturowe: 5 godz.;
b) przygotowanie do zajęć: 3 godz.;
c) przygotowywanie sprawozdań z ćwiczeń laboratoryjnych: 10 godz.
d) przygotowywanie się studenta do egzaminu: 8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 ECTS – liczba godzin kontaktowych - 34, w tym:
a) wykład -15 godz.;
b) laboratorium- 15 godz.;
c) konsultacje - 2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- 25, w tym:
a) udział w ćwiczeniach laboratoryjnych - 15 godz.;
b) przygotowywanie sprawozdań z ćwiczeń laboratoryjnych: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3. Diagnostyka gigacyklowego procesu zmęczeniowego.
4. Diagnostyka hydraulicznych elementów wykonawczych układów hydraulicznych.
5.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Cempel Cz.: 1989. Diagnostyka wibroakustyczna maszyn. PWN Warszawa.
2. Smalko Z.: 1998. Podstawy Eksploatacji Technicznej Pojazdów. Oficyna Wydawnicza Politechniki Warszawskiej.
3. Levitt: 1997. The Handbook of Maintenance Management, Idustrial Pres Jnc.
4. Radkowski S.: 2002. Wibroakustyczna Diagnostyka Uszkodzeń Niskoenergetycznych. ITE Radom-Warszawa
</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1150-PE000-ISP-0315_W2: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K_W19, K_W21</w:t>
      </w:r>
    </w:p>
    <w:p>
      <w:pPr>
        <w:spacing w:before="20" w:after="190"/>
      </w:pPr>
      <w:r>
        <w:rPr>
          <w:b/>
          <w:bCs/>
        </w:rPr>
        <w:t xml:space="preserve">Powiązane efekty obszarowe: </w:t>
      </w:r>
      <w:r>
        <w:rPr/>
        <w:t xml:space="preserve">T1A_W05, T1A_W08</w:t>
      </w:r>
    </w:p>
    <w:p>
      <w:pPr>
        <w:keepNext w:val="1"/>
        <w:spacing w:after="10"/>
      </w:pPr>
      <w:r>
        <w:rPr>
          <w:b/>
          <w:bCs/>
        </w:rPr>
        <w:t xml:space="preserve">Efekt 1150-PE000-ISP-0315_W3: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K_W15, K_W17</w:t>
      </w:r>
    </w:p>
    <w:p>
      <w:pPr>
        <w:spacing w:before="20" w:after="190"/>
      </w:pPr>
      <w:r>
        <w:rPr>
          <w:b/>
          <w:bCs/>
        </w:rPr>
        <w:t xml:space="preserve">Powiązane efekty obszarowe: </w:t>
      </w:r>
      <w:r>
        <w:rPr/>
        <w:t xml:space="preserve">T1A_W03, T1A_W04, T1A_W07, T1A_W03, T1A_W04, T1A_W07</w:t>
      </w:r>
    </w:p>
    <w:p>
      <w:pPr>
        <w:keepNext w:val="1"/>
        <w:spacing w:after="10"/>
      </w:pPr>
      <w:r>
        <w:rPr>
          <w:b/>
          <w:bCs/>
        </w:rPr>
        <w:t xml:space="preserve">Efekt 1150-PE000-ISP-0315_W4: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1150-PE000-ISP-0315_U1: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T1A_U08, T1A_U09, InzA_U01, InzA_U02, T1A_U08, T1A_U09</w:t>
      </w:r>
    </w:p>
    <w:p>
      <w:pPr>
        <w:keepNext w:val="1"/>
        <w:spacing w:after="10"/>
      </w:pPr>
      <w:r>
        <w:rPr>
          <w:b/>
          <w:bCs/>
        </w:rPr>
        <w:t xml:space="preserve">Efekt 1150-PE000-ISP-0315_U2: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K_U20, K_U24</w:t>
      </w:r>
    </w:p>
    <w:p>
      <w:pPr>
        <w:spacing w:before="20" w:after="190"/>
      </w:pPr>
      <w:r>
        <w:rPr>
          <w:b/>
          <w:bCs/>
        </w:rPr>
        <w:t xml:space="preserve">Powiązane efekty obszarowe: </w:t>
      </w:r>
      <w:r>
        <w:rPr/>
        <w:t xml:space="preserve">T1A_U16, T1A_U15, InzA_U07</w:t>
      </w:r>
    </w:p>
    <w:p>
      <w:pPr>
        <w:pStyle w:val="Heading3"/>
      </w:pPr>
      <w:bookmarkStart w:id="4" w:name="_Toc4"/>
      <w:r>
        <w:t>Profil ogólnoakademicki - kompetencje społeczne</w:t>
      </w:r>
      <w:bookmarkEnd w:id="4"/>
    </w:p>
    <w:p>
      <w:pPr>
        <w:keepNext w:val="1"/>
        <w:spacing w:after="10"/>
      </w:pPr>
      <w:r>
        <w:rPr>
          <w:b/>
          <w:bCs/>
        </w:rPr>
        <w:t xml:space="preserve">Efekt 1150-PE000-ISP-0315_K1: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InzA_K01,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2026-09-27T16:43:18+02:00</dcterms:created>
  <dcterms:modified xsi:type="dcterms:W3CDTF">2026-09-27T16:43:18+02:00</dcterms:modified>
</cp:coreProperties>
</file>

<file path=docProps/custom.xml><?xml version="1.0" encoding="utf-8"?>
<Properties xmlns="http://schemas.openxmlformats.org/officeDocument/2006/custom-properties" xmlns:vt="http://schemas.openxmlformats.org/officeDocument/2006/docPropsVTypes"/>
</file>