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T1A_U08, T1A_U09, InzA_U01, InzA_U02, T1A_U12, T1A_U16</w:t>
      </w:r>
    </w:p>
    <w:p>
      <w:pPr>
        <w:pStyle w:val="Heading3"/>
      </w:pPr>
      <w:bookmarkStart w:id="4" w:name="_Toc4"/>
      <w:r>
        <w:t>Profil ogólnoakademicki - kompetencje społeczne</w:t>
      </w:r>
      <w:bookmarkEnd w:id="4"/>
    </w:p>
    <w:p>
      <w:pPr>
        <w:keepNext w:val="1"/>
        <w:spacing w:after="10"/>
      </w:pPr>
      <w:r>
        <w:rPr>
          <w:b/>
          <w:bCs/>
        </w:rPr>
        <w:t xml:space="preserve">Efekt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2026-09-27T15:29:35+02:00</dcterms:created>
  <dcterms:modified xsi:type="dcterms:W3CDTF">2026-09-27T15:29:35+02:00</dcterms:modified>
</cp:coreProperties>
</file>

<file path=docProps/custom.xml><?xml version="1.0" encoding="utf-8"?>
<Properties xmlns="http://schemas.openxmlformats.org/officeDocument/2006/custom-properties" xmlns:vt="http://schemas.openxmlformats.org/officeDocument/2006/docPropsVTypes"/>
</file>