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T1A_U08, T1A_U09, InzA_U01, InzA_U02, T1A_U12, T1A_U16</w:t>
      </w:r>
    </w:p>
    <w:p>
      <w:pPr>
        <w:pStyle w:val="Heading3"/>
      </w:pPr>
      <w:bookmarkStart w:id="4" w:name="_Toc4"/>
      <w:r>
        <w:t>Profil ogólnoakademicki - kompetencje społeczne</w:t>
      </w:r>
      <w:bookmarkEnd w:id="4"/>
    </w:p>
    <w:p>
      <w:pPr>
        <w:keepNext w:val="1"/>
        <w:spacing w:after="10"/>
      </w:pPr>
      <w:r>
        <w:rPr>
          <w:b/>
          <w:bCs/>
        </w:rPr>
        <w:t xml:space="preserve">Efekt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2026-10-18T12:29:48+02:00</dcterms:created>
  <dcterms:modified xsi:type="dcterms:W3CDTF">2026-10-18T12:29:48+02:00</dcterms:modified>
</cp:coreProperties>
</file>

<file path=docProps/custom.xml><?xml version="1.0" encoding="utf-8"?>
<Properties xmlns="http://schemas.openxmlformats.org/officeDocument/2006/custom-properties" xmlns:vt="http://schemas.openxmlformats.org/officeDocument/2006/docPropsVTypes"/>
</file>