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 punktu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T1A_U12, InzA_U04, T1A_U15, InzA_U07</w:t>
      </w:r>
    </w:p>
    <w:p>
      <w:pPr>
        <w:keepNext w:val="1"/>
        <w:spacing w:after="10"/>
      </w:pPr>
      <w:r>
        <w:rPr>
          <w:b/>
          <w:bCs/>
        </w:rPr>
        <w:t xml:space="preserve">Efekt 1150-00000-ISP-0108_U02: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T1A_U15, InzA_U07</w:t>
      </w:r>
    </w:p>
    <w:p>
      <w:pPr>
        <w:keepNext w:val="1"/>
        <w:spacing w:after="10"/>
      </w:pPr>
      <w:r>
        <w:rPr>
          <w:b/>
          <w:bCs/>
        </w:rPr>
        <w:t xml:space="preserve">Efekt 1150-00000-ISP-0108_U03: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T1A_U15, InzA_U07</w:t>
      </w:r>
    </w:p>
    <w:p>
      <w:pPr>
        <w:keepNext w:val="1"/>
        <w:spacing w:after="10"/>
      </w:pPr>
      <w:r>
        <w:rPr>
          <w:b/>
          <w:bCs/>
        </w:rPr>
        <w:t xml:space="preserve">Efekt 1150-00000-ISP-0108_U06: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1150-00000-ISP-0108_U09: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2026-09-28T01:23:44+02:00</dcterms:created>
  <dcterms:modified xsi:type="dcterms:W3CDTF">2026-09-28T01:23:44+02:00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