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- 10, przygotowanie do zajęć - 20,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- 10,  Razem - 40h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drobin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drobin pierwiastków dodatkowych i poddodatkowych.
</w:t>
      </w:r>
    </w:p>
    <w:p>
      <w:pPr>
        <w:keepNext w:val="1"/>
        <w:spacing w:after="10"/>
      </w:pPr>
      <w:r>
        <w:rPr>
          <w:b/>
          <w:bCs/>
        </w:rPr>
        <w:t xml:space="preserve">Metody oceny: </w:t>
      </w:r>
    </w:p>
    <w:p>
      <w:pPr>
        <w:spacing w:before="20" w:after="190"/>
      </w:pPr>
      <w:r>
        <w:rPr/>
        <w:t xml:space="preserve">Obecność na wykładach wskazana. Na ocenę końcową składa się ocena z egzaminu pisemnego oraz ocena z ćwiczeń audytoryjnych. W przypadku ćwiczeń audytoryjnych przewidziane jest kolokwium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2026-08-18T14:35:56+02:00</dcterms:created>
  <dcterms:modified xsi:type="dcterms:W3CDTF">2026-08-18T14:35:56+02:00</dcterms:modified>
</cp:coreProperties>
</file>

<file path=docProps/custom.xml><?xml version="1.0" encoding="utf-8"?>
<Properties xmlns="http://schemas.openxmlformats.org/officeDocument/2006/custom-properties" xmlns:vt="http://schemas.openxmlformats.org/officeDocument/2006/docPropsVTypes"/>
</file>