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Umie różniczkować i zna zastosowania pochodnej funkcji jednej zmiennej rzeczywistej. Potrafi obliczać całkę oznaczoną. Umie zastosować całkę oznaczoną do obliczania wybranych wielkości geometrycznych.Potrafi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w:t>
      </w:r>
    </w:p>
    <w:p>
      <w:pPr>
        <w:spacing w:before="60"/>
      </w:pPr>
      <w:r>
        <w:rPr/>
        <w:t xml:space="preserve">Weryfikacja: </w:t>
      </w:r>
    </w:p>
    <w:p>
      <w:pPr>
        <w:spacing w:before="20" w:after="190"/>
      </w:pPr>
      <w:r>
        <w:rPr/>
        <w:t xml:space="preserve">Aktywna postawa na zajęciach. Obserwacja pracy studenta w sali komputerowej.</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2026-10-03T02:56:42+02:00</dcterms:created>
  <dcterms:modified xsi:type="dcterms:W3CDTF">2026-10-03T02:56:42+02:00</dcterms:modified>
</cp:coreProperties>
</file>

<file path=docProps/custom.xml><?xml version="1.0" encoding="utf-8"?>
<Properties xmlns="http://schemas.openxmlformats.org/officeDocument/2006/custom-properties" xmlns:vt="http://schemas.openxmlformats.org/officeDocument/2006/docPropsVTypes"/>
</file>