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ds. Studiów Niestacjonarnych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50 godz projektu.
2) Praca własna studenta – 50 godz., w tym:
a) studia literaturowe: 25 godz.
b) praca nad przygotowaniem projektu: 25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 50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- 50 godz.;
b) praca nad przygotowaniem projektu – 25 godz.
c) studia literaturowe: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KMiBM2_U03, KMiBM2_U05, KMiBM2_U08, KMiBM2_U12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T2A_U10, T2A_U11, InzA_U01, T2A_U12, InzA_U02, InzA_U05, T2A_U09, T2A_U10, T2A_U13, InzA_U01, T2A_U18, InzA_U03</w:t>
      </w:r>
    </w:p>
    <w:p>
      <w:pPr>
        <w:keepNext w:val="1"/>
        <w:spacing w:after="10"/>
      </w:pPr>
      <w:r>
        <w:rPr>
          <w:b/>
          <w:bCs/>
        </w:rPr>
        <w:t xml:space="preserve">Efekt 1150-00000-MZP-0521_U2: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T2A_U16, InzA_U03, InzA_U04, InzA_U05, InzA_U06,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1150-00000-MZP-0521_U3: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KMiBM2_U14, KMiBM2_U15, KMiBM_U17, KMiBM2_U18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T2A_U01, T2A_U03, T2A_U04,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1150-00000-MZP-0521_K1: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2025-05-07T14:23:36+02:00</dcterms:created>
  <dcterms:modified xsi:type="dcterms:W3CDTF">2025-05-07T14:23:36+02:00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