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1150-MT000-IZP-0337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kontaktowych- 25 godzin, w tym:
a) projekt - 20. godz.;
b) konsultacje - 5 godz.;
2) Praca własna studenta – 35 godzin, w tym:
a)	 15 godz. –bieżące przygotowywanie się studenta do zajęć, studia literaturowe,
b)	 25 godz. – wykonanie sprawozdań
3) RAZEM – suma godzin pracy własnej i godzin kontaktowych- 60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- 25, w tym:
a) projekt - 20. godz.;
b)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2 punkty ECTS – 60 godzin, w tym;
a) projekt - 20. godz.;
b) konsultacje - 5 godz.;
c) przygotowanie do wykonania projektu - 15 godz.;
d) wykonanie sprawozdań - 20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dynamiki maszyn, obsługa środowisk MATLAB AmeSim.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praktyczne opanowanie zagadnień związanych z budową układów mechatronicznych ze szczególnym uwzględnieniem układów sterowania.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wykonywane są trzy projekty częściowe: 
W ramach pierwszego projektu studenci mają za zadanie wykonać układ sterowania i regulacji w środowisku Matlab-Simulink.
Drugi projekt poświęcony jest modelowaniu i doborowi parametrów układu dynamicznego w środowisku AmeSim (budowa modeli opartych na interpretacji fizycznej obiektu).
Ostatni z projektów poświęcony jest projektowaniu wspomagania układu napędowego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projektów.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 Podstawy Projektowania Systemów Mechatronicznych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1150-MT000-IZP-0337_W1: </w:t>
      </w:r>
    </w:p>
    <w:p>
      <w:pPr/>
      <w:r>
        <w:rPr/>
        <w:t xml:space="preserve">Student potrafi definiować wymagania dotyczące podstawowych układów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1150-MT000-IZP-0337_W2: </w:t>
      </w:r>
    </w:p>
    <w:p>
      <w:pPr/>
      <w:r>
        <w:rPr/>
        <w:t xml:space="preserve">Student potrafi dobrać metody modelowania.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KMchtr_W07, 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InzA_W02, T1A_W03, T1A_W04, T1A_W07, InzA_W02, InzA_W05, 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1150-MT000-IZP-0337_U1: </w:t>
      </w:r>
    </w:p>
    <w:p>
      <w:pPr/>
      <w:r>
        <w:rPr/>
        <w:t xml:space="preserve">Student potrafi określić priorytety służące realizacji określonego przez siebie lub innych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1150-MT000-IZP-0337_K1: </w:t>
      </w:r>
    </w:p>
    <w:p>
      <w:pPr/>
      <w:r>
        <w:rPr/>
        <w:t xml:space="preserve">Student 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2025-05-12T11:02:10+02:00</dcterms:created>
  <dcterms:modified xsi:type="dcterms:W3CDTF">2025-05-12T11:02:10+02:00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