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Wiesław Grzesikiewicz, dr Lech Knap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1150-MT00-ISP-0206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T1A_W01, T1A_W02</w:t>
      </w:r>
    </w:p>
    <w:p>
      <w:pPr>
        <w:keepNext w:val="1"/>
        <w:spacing w:after="10"/>
      </w:pPr>
      <w:r>
        <w:rPr>
          <w:b/>
          <w:bCs/>
        </w:rPr>
        <w:t xml:space="preserve">Efekt 1150-MT00-ISP-0206_W02: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T1A_W01, T1A_W02</w:t>
      </w:r>
    </w:p>
    <w:p>
      <w:pPr>
        <w:keepNext w:val="1"/>
        <w:spacing w:after="10"/>
      </w:pPr>
      <w:r>
        <w:rPr>
          <w:b/>
          <w:bCs/>
        </w:rPr>
        <w:t xml:space="preserve">Efekt 1150-MT00-ISP-0206_W03: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1150-MT00-ISP-0206_U02: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2026-07-24T12:15:10+02:00</dcterms:created>
  <dcterms:modified xsi:type="dcterms:W3CDTF">2026-07-24T12:15:10+02:00</dcterms:modified>
</cp:coreProperties>
</file>

<file path=docProps/custom.xml><?xml version="1.0" encoding="utf-8"?>
<Properties xmlns="http://schemas.openxmlformats.org/officeDocument/2006/custom-properties" xmlns:vt="http://schemas.openxmlformats.org/officeDocument/2006/docPropsVTypes"/>
</file>