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Państwo a biznes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Eugeniusz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PKW 1.2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godz.: 30 h w kontakcie z nauczycielem, 5 h zapoznanie z literaturą, 5 h przygotowania studenta do zaliczenia, 5 h konsultacje i 5 h zaliczenie.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studentów roli, sposobów i instrumentów państwa w oddziaływaniu na działalność gospodarczą podmiotów gospodarczych.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Modele roli państwa w gospodarce. Zawodność rynku i państwa. Dobra publiczne i prywatne. Rodzaje podmiotów gospodarczych. Znaczenie MŚP. Wynik finansowy przedsiębiorstwa i jego determinanty. Instytucjonalne uwarunkowania biznesu. Biznes plan.Cele i funkcje polityki społeczno-gospodarczej państwa. Rodzaje polityki. Podatki i wydatki budżetowe i ich wpływ na wyniki działalności gospodarczej. Znaczenie stóp procentowych dla aktywności inwestycyjnej przedsiębiorstw i finansowania budżetu. Wspieranie przedsiębiorczości. Państwo na rynku pracy. Instytucje rynku pracy a działalność przedsiębiorstwa. Polityka państwa na rynku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sprawdzianu pisemnego i prezentacji eseju przygotowanego w domu.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J.E. Stiglitz, Ekonomia sektora publicznego, PWN, Warszawa 2004; W. Markowski, ABC small business'u, Wyd. MARCUS, Łódź 2008; S.Owsiak, Finanse publiczne. Teoria i praktyka, PWN, Warszawa 2011; J. Duraj, podstawy ekonomiki przedsiębiorstwa, PWE,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zasady działania podmiotów gospodarczych.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Rozumie mechanizmy oddziaływania państwa na działalność biznesu.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uwarunkowania decyzji gospodarczych podmiotów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S2P_W05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Rozumie bariery i stymulatory rozwoju przedsiębiorczości.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ocenić skutki odpowiednich regulacji państwa dla działalności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Posiada umiejętność analizy i oceny wskaźników finansowych w przedsiębiorstwie.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S2P_U08</w:t>
      </w:r>
    </w:p>
    <w:p>
      <w:pPr>
        <w:keepNext w:val="1"/>
        <w:spacing w:after="10"/>
      </w:pPr>
      <w:r>
        <w:rPr>
          <w:b/>
          <w:bCs/>
        </w:rPr>
        <w:t xml:space="preserve">Efekt U15: </w:t>
      </w:r>
    </w:p>
    <w:p>
      <w:pPr/>
      <w:r>
        <w:rPr/>
        <w:t xml:space="preserve">Potrafi wykorzystać oceny wskaźników ekonomicznych działalności przedsiębiorstwa do podejmowania decyzji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S2P_U04, S2P_U06, 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Ma świadomość skutków ekonomicznych podjętych decyzji w przedsiębiorstwie.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eseju przygotowanego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Jest świadomy społecznej odpowiedzialności biznesu.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eseju przygotowanego w domu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2026-09-30T22:23:20+02:00</dcterms:created>
  <dcterms:modified xsi:type="dcterms:W3CDTF">2026-09-30T22:23:20+02:00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