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
b) laboratorium - 8 godz. ;
c) konsultacje - 9 godz.;
2. Praca własna studenta – 35 godzin, w tym:
a)	 20 godz. – bieżące przygotowywanie się studenta do ćwiczeń laboratoryjnych, studia literaturowe,
b)	 15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- 25.,  w tym: 
a) wykład - 8 godz. ;
b) laboratorium - 8 godz. ;
c) konsultacje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8 godz.
2) 22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1150-MB000-IZP-0223_W02: </w:t>
      </w:r>
    </w:p>
    <w:p>
      <w:pPr/>
      <w:r>
        <w:rPr/>
        <w:t xml:space="preserve">Posiada wiedzę nt. posługiwania się środowiskiem programowania obiektowego.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1150-MB000-IZP-0223_U03: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2026-09-30T17:42:06+02:00</dcterms:created>
  <dcterms:modified xsi:type="dcterms:W3CDTF">2026-09-30T17:42:06+02:00</dcterms:modified>
</cp:coreProperties>
</file>

<file path=docProps/custom.xml><?xml version="1.0" encoding="utf-8"?>
<Properties xmlns="http://schemas.openxmlformats.org/officeDocument/2006/custom-properties" xmlns:vt="http://schemas.openxmlformats.org/officeDocument/2006/docPropsVTypes"/>
</file>