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godz. w tym:
a) projekt – 20 godz.;
b) konsultacje – 2 godz.;
2) Praca własna studenta – 30 godz. w tym:
a) bieżące przygotowanie studenta do zajęć – 15 godz.,
b) studia literaturowe – 5 godz.,
c) wykonanie obliczeń i dokumentacji technicznej – 10 godz.
3) RAZEM –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– liczba godzin kontaktowych – 22 godz., w tym:
a) projekt – 20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– 45 godz., w tym:
a) projekt – 20 godz.;
b) bieżące przygotowanie studenta do zajęć – 15 godz.,
d) wykonanie obliczeń i dokumentacji technicznej –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praktycznych umiejętności wykorzystywania wszystkich wiadomości poznanych podczas wykładu w praktycznym sporządzaniu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dwóch szkiców na podstawie otrzymanych części maszynowych –tematy indywidualne,
Odwzorowanie w rzutach prostokątnych (na brystolu) i zwymiarowanie  podstawy łożyska oczkowego – wykonanie tuszem w domu.
Wykonanie rysunków (na brystolu) na podstawie wcześniej wykonanych szkiców. 
Wykonanie (na brystolu) rysunku śruby i nakrętki – tematy indywidualne. Wykonanie (na brystolu) rysunku zestawieniowego połączenia gwintowego omówionego podczas zajęć walcowego – tematy indywidualne.
Wykonanie (na brystolu) rysunku koła zębatego walcowego – tematy indywidualne.
Wykonanie rysunku złożeniowego, rysunków wykonawczych i specyfikacji części prostego zespołu maszynowego (na kalce technicznej lub brystolu wykonanie w tuszu lub ołówku).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 poprawiane  i oceniane na każdych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1150-MB000-IZP-0117_W4: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1150-MB000-IZP-0117_U2: </w:t>
      </w:r>
    </w:p>
    <w:p>
      <w:pPr/>
      <w:r>
        <w:rPr/>
        <w:t xml:space="preserve">Ma praktyczną umiejętność dotyczącą przedstawiania i wymiarowania łączników i połączeń rozłącznych i nierozłącznych.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1150-MB000-IZP-0117_U5: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1150-MB000-IZP-0117_U6: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1150-MB000-IZP-0117_K1: </w:t>
      </w:r>
    </w:p>
    <w:p>
      <w:pPr/>
      <w:r>
        <w:rPr/>
        <w:t xml:space="preserve">Potrafi pracować samodzielnie, ma świadomość odpowiedzialności za pracę, ma świadomość ważności zachowania w sposób profesjonalny,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2026-08-18T02:54:39+02:00</dcterms:created>
  <dcterms:modified xsi:type="dcterms:W3CDTF">2026-08-18T02:54:39+02:00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