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 (udział w wykładach: 8 x 1 godz.= 8 godz., udział w ćwiczeniach projektowych 8 x 2 godz. = 16 godz., przygotowanie do ćwiczeń projektowych 8 godz., realizacja ćwiczeń projektowych  godz. 24, przygotowanie do zaliczeń i egzaminu 19 godz., 2 godz. konsultacji). Łączny nakład pracy studenta wynosi 77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26 godz. (- udział w wykładach: 8 x 1 godz. = 8 godz., - udział w ćwiczeniach projektowych: 8 x 2 godz. = 16 godz., 2 godz. konsultacji) Nakład pracy związany z zajęciami wymagającymi bezpośredniego udziału nauczyciela wynosi 26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40 godz. (- udział w ćwiczeniach projektowych: 8 x 2 godz. = 16 godz., - realizacja ćwiczeń projektowych: 24 godz.). Łączny nakład pracy studenta wynosi 40 godz., co odpowiada 1.6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Zaliczenie ćwiczeń proj.: sprawdzian pisemny oraz sprawozdania z ćwiczeń. 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Wydawnicza PW 2005 
2. Jan Panasiuk, Jerzy Balcerzak, Urszula Pokrowska „Wybrane zagadnienia z podstaw teorii odwzorowań kartograficznych” Oficyna Wydawnicza PW 2000
3. J. Różycki: Kartografia matematyczna, PWN 1973 
4. Franciszek Biernacki „Podstawy teorii odwzorowań kartograficznych” 1973
5. Idzi Gajderowicz „Kartografia matematyczna dla geodetów” UWM 1999
6..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GK.NIK414_W1: </w:t>
      </w:r>
    </w:p>
    <w:p>
      <w:pPr/>
      <w:r>
        <w:rPr/>
        <w:t xml:space="preserve">Ma wiedzę na temat odwzorowań kartograficznych, układów współrzędnych, teorii zniekształceń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GK.NIK414_W2: </w:t>
      </w:r>
    </w:p>
    <w:p>
      <w:pPr/>
      <w:r>
        <w:rPr/>
        <w:t xml:space="preserve">zna podstawowe funkcje programów komputerowych umożliwiające przeprowadzenie obliczeń zniekształceń odwzorowawczych oraz prezentację tych zniekształceń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GK.NIK414_U1: </w:t>
      </w:r>
    </w:p>
    <w:p>
      <w:pPr/>
      <w:r>
        <w:rPr/>
        <w:t xml:space="preserve">Posiada umiejętność badania własności metrycznych odwzorowań kartograficznych oraz wyznaczania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GK.NIK414_U2: </w:t>
      </w:r>
    </w:p>
    <w:p>
      <w:pPr/>
      <w:r>
        <w:rPr/>
        <w:t xml:space="preserve">Potrafi opracować wyniki obliczeń zniekształceń odwzorowawczych oraz zaprezentować je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GK.NIK414_K1: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2026-02-05T14:30:47+01:00</dcterms:created>
  <dcterms:modified xsi:type="dcterms:W3CDTF">2026-02-05T14:30:47+01:00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